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F" w:rsidRDefault="0071511F" w:rsidP="0071511F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</w:t>
      </w:r>
      <w:r w:rsidRPr="00475E3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NTERNATIONAL ELECTROTECHNICAL COMMISSION (IEC) SYSTEM </w:t>
      </w:r>
      <w:r w:rsidRPr="00475E3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:rsidR="0071511F" w:rsidRDefault="0071511F" w:rsidP="0071511F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71511F" w:rsidRDefault="0071511F" w:rsidP="0071511F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475E3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475E3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475E3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 </w:t>
      </w:r>
    </w:p>
    <w:p w:rsidR="0071511F" w:rsidRDefault="0071511F" w:rsidP="0071511F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71511F" w:rsidRPr="00E828D9" w:rsidRDefault="0071511F" w:rsidP="0071511F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Title: Document for discussion at the 2018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Cannes meeting – </w:t>
      </w:r>
      <w:r w:rsidRPr="0071511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Construction requirements for flameproof enclosures with an internal source of release (containment system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)</w:t>
      </w:r>
    </w:p>
    <w:p w:rsidR="0071511F" w:rsidRDefault="0071511F" w:rsidP="0071511F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71511F" w:rsidRPr="00CC2D7D" w:rsidRDefault="0071511F" w:rsidP="0071511F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/>
          <w:b/>
          <w:bCs/>
        </w:rPr>
      </w:pPr>
      <w:r w:rsidRPr="00CC2D7D">
        <w:rPr>
          <w:rFonts w:ascii="Arial" w:eastAsia="Times New Roman" w:hAnsi="Arial"/>
          <w:b/>
          <w:bCs/>
        </w:rPr>
        <w:t>INTRODUCTION</w:t>
      </w:r>
    </w:p>
    <w:p w:rsidR="0071511F" w:rsidRPr="00CC2D7D" w:rsidRDefault="0071511F" w:rsidP="0071511F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document, </w:t>
      </w:r>
      <w:proofErr w:type="spellStart"/>
      <w:r w:rsidRPr="0071511F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1511F">
        <w:rPr>
          <w:rFonts w:ascii="Arial" w:hAnsi="Arial" w:cs="Arial"/>
          <w:i/>
          <w:sz w:val="24"/>
          <w:szCs w:val="24"/>
          <w:lang w:val="en-GB"/>
        </w:rPr>
        <w:t xml:space="preserve">/523/CD Draft </w:t>
      </w:r>
      <w:proofErr w:type="spellStart"/>
      <w:r w:rsidRPr="0071511F">
        <w:rPr>
          <w:rFonts w:ascii="Arial" w:hAnsi="Arial" w:cs="Arial"/>
          <w:i/>
          <w:sz w:val="24"/>
          <w:szCs w:val="24"/>
          <w:lang w:val="en-GB"/>
        </w:rPr>
        <w:t>ExTAG</w:t>
      </w:r>
      <w:proofErr w:type="spellEnd"/>
      <w:r w:rsidRPr="0071511F">
        <w:rPr>
          <w:rFonts w:ascii="Arial" w:hAnsi="Arial" w:cs="Arial"/>
          <w:i/>
          <w:sz w:val="24"/>
          <w:szCs w:val="24"/>
          <w:lang w:val="en-GB"/>
        </w:rPr>
        <w:t xml:space="preserve"> Decision Sheet –</w:t>
      </w:r>
      <w:r w:rsidRPr="0071511F">
        <w:rPr>
          <w:i/>
        </w:rPr>
        <w:t xml:space="preserve"> </w:t>
      </w:r>
      <w:r w:rsidRPr="0071511F">
        <w:rPr>
          <w:rFonts w:ascii="Arial" w:hAnsi="Arial" w:cs="Arial"/>
          <w:i/>
          <w:sz w:val="24"/>
          <w:szCs w:val="24"/>
          <w:lang w:val="en-GB"/>
        </w:rPr>
        <w:t>Construction requirements for flameproof enclosures with an internal source of release (containment system)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71511F">
        <w:rPr>
          <w:rFonts w:ascii="Arial" w:hAnsi="Arial" w:cs="Arial"/>
          <w:sz w:val="24"/>
          <w:szCs w:val="24"/>
          <w:lang w:val="en-GB"/>
        </w:rPr>
        <w:t xml:space="preserve">has been prepared by </w:t>
      </w:r>
      <w:r>
        <w:rPr>
          <w:rFonts w:ascii="Arial" w:hAnsi="Arial" w:cs="Arial"/>
          <w:sz w:val="24"/>
          <w:szCs w:val="24"/>
          <w:lang w:val="en-GB"/>
        </w:rPr>
        <w:t xml:space="preserve">FMG,US, </w:t>
      </w:r>
      <w:r w:rsidRPr="0071511F">
        <w:rPr>
          <w:rFonts w:ascii="Arial" w:hAnsi="Arial" w:cs="Arial"/>
          <w:sz w:val="24"/>
          <w:szCs w:val="24"/>
          <w:lang w:val="en-GB"/>
        </w:rPr>
        <w:t xml:space="preserve">and is </w:t>
      </w:r>
      <w:r>
        <w:rPr>
          <w:rFonts w:ascii="Arial" w:hAnsi="Arial" w:cs="Arial"/>
          <w:sz w:val="24"/>
          <w:szCs w:val="24"/>
          <w:lang w:val="en-GB"/>
        </w:rPr>
        <w:t>listed for discussion during t</w:t>
      </w:r>
      <w:r w:rsidRPr="00CC2D7D">
        <w:rPr>
          <w:rFonts w:ascii="Arial" w:hAnsi="Arial" w:cs="Arial"/>
          <w:sz w:val="24"/>
          <w:szCs w:val="24"/>
          <w:lang w:val="en-GB"/>
        </w:rPr>
        <w:t xml:space="preserve">he 2018 </w:t>
      </w:r>
      <w:proofErr w:type="spellStart"/>
      <w:r w:rsidRPr="00CC2D7D">
        <w:rPr>
          <w:rFonts w:ascii="Arial" w:hAnsi="Arial" w:cs="Arial"/>
          <w:sz w:val="24"/>
          <w:szCs w:val="24"/>
          <w:lang w:val="en-GB"/>
        </w:rPr>
        <w:t>ExTAG</w:t>
      </w:r>
      <w:proofErr w:type="spellEnd"/>
      <w:r w:rsidRPr="00CC2D7D">
        <w:rPr>
          <w:rFonts w:ascii="Arial" w:hAnsi="Arial" w:cs="Arial"/>
          <w:sz w:val="24"/>
          <w:szCs w:val="24"/>
          <w:lang w:val="en-GB"/>
        </w:rPr>
        <w:t xml:space="preserve"> Cannes Meeting</w:t>
      </w:r>
      <w:r>
        <w:rPr>
          <w:rFonts w:ascii="Arial" w:hAnsi="Arial" w:cs="Arial"/>
          <w:sz w:val="24"/>
          <w:szCs w:val="24"/>
          <w:lang w:val="en-GB"/>
        </w:rPr>
        <w:t>.</w:t>
      </w:r>
      <w:r w:rsidRPr="00CC2D7D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</w:pPr>
      <w:bookmarkStart w:id="0" w:name="_GoBack"/>
      <w:bookmarkEnd w:id="0"/>
    </w:p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</w:pPr>
    </w:p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</w:pPr>
    </w:p>
    <w:p w:rsidR="0071511F" w:rsidRPr="00475E31" w:rsidRDefault="0071511F" w:rsidP="0071511F">
      <w:pPr>
        <w:pBdr>
          <w:between w:val="nil"/>
          <w:bar w:val="nil"/>
        </w:pBdr>
        <w:spacing w:after="0" w:line="240" w:lineRule="auto"/>
        <w:ind w:right="-335"/>
        <w:jc w:val="both"/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</w:pPr>
      <w:r w:rsidRPr="00475E31"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  <w:t>Julien Gauthier</w:t>
      </w:r>
    </w:p>
    <w:p w:rsidR="0071511F" w:rsidRPr="00475E31" w:rsidRDefault="0071511F" w:rsidP="0071511F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e-DE" w:eastAsia="en-AU"/>
        </w:rPr>
      </w:pPr>
    </w:p>
    <w:p w:rsidR="0071511F" w:rsidRPr="00475E31" w:rsidRDefault="0071511F" w:rsidP="0071511F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475E3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Julien Gauthier</w:t>
      </w:r>
    </w:p>
    <w:p w:rsidR="0071511F" w:rsidRPr="00475E31" w:rsidRDefault="0071511F" w:rsidP="0071511F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475E3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ExTAG Secretary</w:t>
      </w:r>
    </w:p>
    <w:p w:rsidR="0071511F" w:rsidRPr="00475E31" w:rsidRDefault="0071511F" w:rsidP="0071511F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71511F" w:rsidRPr="00475E31" w:rsidTr="00AD3EE5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IECEx Secretariat 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475E3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Street">
              <w:smartTag w:uri="urn:schemas-microsoft-com:office:smarttags" w:element="address">
                <w:r w:rsidRPr="00475E3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264 George Street</w:t>
                </w:r>
              </w:smartTag>
            </w:smartTag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475E3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75E3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7" w:history="1">
              <w:r w:rsidRPr="00475E3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proofErr w:type="spellStart"/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ExTAG</w:t>
            </w:r>
            <w:proofErr w:type="spellEnd"/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Secretary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Mr Julien Gauthier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475E3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S.A.</w:t>
                </w:r>
              </w:smartTag>
            </w:smartTag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33 Avenue du General Leclerc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92260 Fontenay-aux-Roses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FRANCE</w:t>
            </w: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  <w:t xml:space="preserve">  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Tel: +33 1 40 95 55 26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Fax: +33 1 40 95 89 37</w:t>
            </w:r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475E3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 xml:space="preserve">Email : </w:t>
            </w:r>
            <w:hyperlink r:id="rId8" w:history="1">
              <w:r w:rsidRPr="00475E31">
                <w:rPr>
                  <w:rFonts w:ascii="Arial" w:eastAsia="Arial Unicode MS" w:hAnsi="Arial" w:cs="Arial"/>
                  <w:b/>
                  <w:bCs/>
                  <w:color w:val="0000FF"/>
                  <w:sz w:val="21"/>
                  <w:szCs w:val="21"/>
                  <w:u w:val="single" w:color="000000"/>
                  <w:bdr w:val="nil"/>
                  <w:lang w:val="fr-FR" w:eastAsia="en-AU"/>
                </w:rPr>
                <w:t>julien.gauthier@fr.bureauveritas.com</w:t>
              </w:r>
            </w:hyperlink>
          </w:p>
          <w:p w:rsidR="0071511F" w:rsidRPr="00475E31" w:rsidRDefault="0071511F" w:rsidP="00AD3EE5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</w:p>
        </w:tc>
      </w:tr>
    </w:tbl>
    <w:p w:rsidR="0071511F" w:rsidRDefault="0071511F" w:rsidP="0071511F">
      <w:pPr>
        <w:rPr>
          <w:rFonts w:ascii="Arial" w:eastAsia="Times New Roman" w:hAnsi="Arial"/>
          <w:b/>
          <w:bCs/>
          <w:sz w:val="20"/>
          <w:szCs w:val="20"/>
        </w:rPr>
        <w:sectPr w:rsidR="0071511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A3FD0" w:rsidRDefault="003A3FD0" w:rsidP="003A3FD0">
      <w:pPr>
        <w:spacing w:after="0" w:line="240" w:lineRule="auto"/>
        <w:jc w:val="center"/>
        <w:rPr>
          <w:rFonts w:ascii="Arial" w:eastAsia="Times New Roman" w:hAnsi="Arial"/>
          <w:b/>
          <w:bCs/>
          <w:lang w:eastAsia="x-none"/>
        </w:rPr>
      </w:pPr>
      <w:r w:rsidRPr="00AC0DD3">
        <w:rPr>
          <w:rFonts w:ascii="Arial" w:eastAsia="Times New Roman" w:hAnsi="Arial"/>
          <w:b/>
          <w:bCs/>
          <w:lang w:eastAsia="x-none"/>
        </w:rPr>
        <w:t xml:space="preserve">IECEx / </w:t>
      </w:r>
      <w:proofErr w:type="spellStart"/>
      <w:r w:rsidRPr="00AC0DD3">
        <w:rPr>
          <w:rFonts w:ascii="Arial" w:eastAsia="Times New Roman" w:hAnsi="Arial"/>
          <w:b/>
          <w:bCs/>
          <w:lang w:eastAsia="x-none"/>
        </w:rPr>
        <w:t>ExTAG</w:t>
      </w:r>
      <w:proofErr w:type="spellEnd"/>
      <w:r w:rsidRPr="00AC0DD3">
        <w:rPr>
          <w:rFonts w:ascii="Arial" w:eastAsia="Times New Roman" w:hAnsi="Arial"/>
          <w:b/>
          <w:bCs/>
          <w:lang w:eastAsia="x-none"/>
        </w:rPr>
        <w:t xml:space="preserve"> DECISIONS</w:t>
      </w:r>
    </w:p>
    <w:p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AC0DD3" w:rsidTr="00061448">
        <w:tc>
          <w:tcPr>
            <w:tcW w:w="2371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Standard: </w:t>
            </w:r>
          </w:p>
          <w:p w:rsidR="003A3FD0" w:rsidRDefault="0076176E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</w:rPr>
              <w:t>IEC 60079-1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:2014</w:t>
            </w:r>
            <w:r>
              <w:rPr>
                <w:rFonts w:ascii="Arial" w:eastAsia="Times New Roman" w:hAnsi="Arial"/>
                <w:bCs/>
                <w:sz w:val="21"/>
                <w:szCs w:val="21"/>
              </w:rPr>
              <w:t xml:space="preserve"> 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(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Ed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 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)</w:t>
            </w: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</w:tc>
        <w:tc>
          <w:tcPr>
            <w:tcW w:w="2620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Clauses: </w:t>
            </w:r>
          </w:p>
          <w:p w:rsidR="003A3FD0" w:rsidRPr="00A9030D" w:rsidRDefault="00A9030D" w:rsidP="00A9030D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9030D">
              <w:rPr>
                <w:rFonts w:ascii="Arial" w:eastAsia="Times New Roman" w:hAnsi="Arial"/>
                <w:sz w:val="21"/>
                <w:szCs w:val="21"/>
                <w:lang w:val="en-US"/>
              </w:rPr>
              <w:t>Annex G</w:t>
            </w:r>
          </w:p>
        </w:tc>
        <w:tc>
          <w:tcPr>
            <w:tcW w:w="3727" w:type="dxa"/>
          </w:tcPr>
          <w:p w:rsidR="003A3FD0" w:rsidRPr="003A3FD0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A3FD0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Draft Decision Sheet: </w:t>
            </w:r>
          </w:p>
          <w:p w:rsidR="003A3FD0" w:rsidRPr="00AC0DD3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</w:p>
        </w:tc>
      </w:tr>
      <w:tr w:rsidR="003A3FD0" w:rsidRPr="00AC0DD3" w:rsidTr="00061448">
        <w:tc>
          <w:tcPr>
            <w:tcW w:w="2371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Subject:</w:t>
            </w:r>
          </w:p>
          <w:p w:rsidR="003A3FD0" w:rsidRDefault="00A9030D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Construction requirements for flameproof enclosures with an internal source of release (containment system)</w:t>
            </w:r>
          </w:p>
          <w:p w:rsidR="00FF73C7" w:rsidRPr="00FF73C7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val="en-US"/>
              </w:rPr>
            </w:pP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Status of document: </w:t>
            </w:r>
          </w:p>
          <w:p w:rsidR="0071511F" w:rsidRPr="00A9030D" w:rsidRDefault="0071511F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Draft</w:t>
            </w:r>
          </w:p>
          <w:p w:rsidR="00FF73C7" w:rsidRPr="002804C8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Key words:</w:t>
            </w:r>
          </w:p>
          <w:p w:rsidR="003A3FD0" w:rsidRPr="00A9030D" w:rsidRDefault="00A9030D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Containment system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A3FD0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Date: </w:t>
            </w:r>
            <w:r>
              <w:rPr>
                <w:rFonts w:ascii="Arial" w:eastAsia="Times New Roman" w:hAnsi="Arial"/>
                <w:b/>
                <w:bCs/>
                <w:sz w:val="21"/>
                <w:szCs w:val="21"/>
              </w:rPr>
              <w:t>2018</w:t>
            </w:r>
            <w:r w:rsidR="00AD52B1">
              <w:rPr>
                <w:rFonts w:ascii="Arial" w:eastAsia="Times New Roman" w:hAnsi="Arial"/>
                <w:b/>
                <w:bCs/>
                <w:sz w:val="21"/>
                <w:szCs w:val="21"/>
              </w:rPr>
              <w:t>-08-06</w:t>
            </w:r>
          </w:p>
          <w:p w:rsidR="003A3FD0" w:rsidRPr="00AC0DD3" w:rsidRDefault="003A3FD0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Originator of proposal: </w:t>
            </w:r>
            <w:r w:rsidR="00E72A5D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FM Approvals LLC (FMG)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TC/SC involved: 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IEC/TC 31</w:t>
            </w:r>
          </w:p>
        </w:tc>
      </w:tr>
      <w:tr w:rsidR="003A3FD0" w:rsidRPr="00AC0DD3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Question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Can the tests given in G.4 of IEC 60079-1</w:t>
            </w:r>
            <w:r w:rsidR="009F44F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, Ed 7,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be omitted if the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containment system inside flameproof enclosure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compl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ies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with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burst pressure test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TS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60079-40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:rsidR="0076176E" w:rsidRDefault="003A3FD0" w:rsidP="00EF32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Answer</w:t>
            </w:r>
            <w:r w:rsidR="00203BF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 xml:space="preserve"> (proposed)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645C6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Yes.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IEC 60079-0 allows tests to be omitted when they are considered to be unnecessary. 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 containment system that meets the design requirements of G.3 a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long with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pressure test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of IEC TS 60079-40 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would provide appropriate justification for the 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tests of G.4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to be omitted</w:t>
            </w:r>
            <w:r w:rsidR="0076176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If 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on-metallic materials other than glass or ceramic are used to effect the sealing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of the containment system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it is noted that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thermal endurance preconditioning is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also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required prior to the burst pressure and Helium leak tests.</w:t>
            </w:r>
          </w:p>
          <w:p w:rsidR="003A3FD0" w:rsidRPr="00AC0DD3" w:rsidRDefault="003A3FD0" w:rsidP="009D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024208" w:rsidRDefault="00024208"/>
    <w:sectPr w:rsidR="00024208" w:rsidSect="002A0C14">
      <w:headerReference w:type="default" r:id="rId11"/>
      <w:footerReference w:type="default" r:id="rId12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04" w:rsidRDefault="00E40904" w:rsidP="003A3FD0">
      <w:pPr>
        <w:spacing w:after="0" w:line="240" w:lineRule="auto"/>
      </w:pPr>
      <w:r>
        <w:separator/>
      </w:r>
    </w:p>
  </w:endnote>
  <w:endnote w:type="continuationSeparator" w:id="0">
    <w:p w:rsidR="00E40904" w:rsidRDefault="00E40904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F" w:rsidRDefault="0071511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1511F" w:rsidRDefault="00715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1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1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3FD0" w:rsidRDefault="003A3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04" w:rsidRDefault="00E40904" w:rsidP="003A3FD0">
      <w:pPr>
        <w:spacing w:after="0" w:line="240" w:lineRule="auto"/>
      </w:pPr>
      <w:r>
        <w:separator/>
      </w:r>
    </w:p>
  </w:footnote>
  <w:footnote w:type="continuationSeparator" w:id="0">
    <w:p w:rsidR="00E40904" w:rsidRDefault="00E40904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F" w:rsidRPr="00961532" w:rsidRDefault="0071511F" w:rsidP="005D3320">
    <w:pPr>
      <w:pStyle w:val="Header"/>
      <w:rPr>
        <w:rFonts w:ascii="Arial" w:hAnsi="Arial" w:cs="Arial"/>
        <w:b/>
      </w:rPr>
    </w:pPr>
    <w:r>
      <w:rPr>
        <w:noProof/>
        <w:lang w:eastAsia="en-AU"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width:93pt;height:40.85pt;mso-position-horizontal-relative:char;mso-position-vertical-relative:line">
          <v:imagedata r:id="rId1" o:title=""/>
          <w10:wrap type="none"/>
          <w10:anchorlock/>
        </v:shape>
      </w:pict>
    </w:r>
    <w:r>
      <w:t xml:space="preserve">  </w:t>
    </w:r>
    <w:r>
      <w:tab/>
    </w:r>
    <w:r>
      <w:tab/>
    </w:r>
    <w:proofErr w:type="spellStart"/>
    <w:r w:rsidRPr="00961532">
      <w:rPr>
        <w:rFonts w:ascii="Arial" w:hAnsi="Arial" w:cs="Arial"/>
        <w:b/>
      </w:rPr>
      <w:t>ExTAG</w:t>
    </w:r>
    <w:proofErr w:type="spellEnd"/>
    <w:r w:rsidRPr="00961532">
      <w:rPr>
        <w:rFonts w:ascii="Arial" w:hAnsi="Arial" w:cs="Arial"/>
        <w:b/>
      </w:rPr>
      <w:t>/</w:t>
    </w:r>
    <w:r>
      <w:rPr>
        <w:rFonts w:ascii="Arial" w:hAnsi="Arial" w:cs="Arial"/>
        <w:b/>
      </w:rPr>
      <w:t>523</w:t>
    </w:r>
    <w:r w:rsidRPr="00961532">
      <w:rPr>
        <w:rFonts w:ascii="Arial" w:hAnsi="Arial" w:cs="Arial"/>
        <w:b/>
      </w:rPr>
      <w:t>/CD</w:t>
    </w:r>
  </w:p>
  <w:p w:rsidR="0071511F" w:rsidRPr="00961532" w:rsidRDefault="0071511F" w:rsidP="00014830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August </w:t>
    </w:r>
    <w:r w:rsidRPr="00961532">
      <w:rPr>
        <w:rFonts w:ascii="Arial" w:hAnsi="Arial" w:cs="Arial"/>
        <w:b/>
      </w:rPr>
      <w:t>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1F" w:rsidRDefault="003A3FD0" w:rsidP="0071511F">
    <w:pPr>
      <w:pStyle w:val="Header"/>
      <w:tabs>
        <w:tab w:val="clear" w:pos="4513"/>
      </w:tabs>
    </w:pPr>
    <w:r>
      <w:rPr>
        <w:noProof/>
        <w:lang w:eastAsia="en-AU"/>
      </w:rPr>
      <w:drawing>
        <wp:inline distT="0" distB="0" distL="0" distR="0" wp14:anchorId="167EECBB" wp14:editId="1E4C7BA1">
          <wp:extent cx="1085215" cy="4876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C1E" w:rsidRPr="0071511F" w:rsidRDefault="0071511F" w:rsidP="0071511F">
    <w:pPr>
      <w:pStyle w:val="Header"/>
      <w:tabs>
        <w:tab w:val="clear" w:pos="4513"/>
      </w:tabs>
      <w:jc w:val="right"/>
      <w:rPr>
        <w:rFonts w:ascii="Arial" w:hAnsi="Arial" w:cs="Arial"/>
        <w:b/>
      </w:rPr>
    </w:pPr>
    <w:proofErr w:type="spellStart"/>
    <w:r w:rsidRPr="0071511F">
      <w:rPr>
        <w:rFonts w:ascii="Arial" w:hAnsi="Arial" w:cs="Arial"/>
        <w:b/>
      </w:rPr>
      <w:t>ExTAG</w:t>
    </w:r>
    <w:proofErr w:type="spellEnd"/>
    <w:r w:rsidRPr="0071511F">
      <w:rPr>
        <w:rFonts w:ascii="Arial" w:hAnsi="Arial" w:cs="Arial"/>
        <w:b/>
      </w:rPr>
      <w:t>/523/CD</w:t>
    </w:r>
  </w:p>
  <w:p w:rsidR="003A3FD0" w:rsidRPr="00A06C1E" w:rsidRDefault="00A06C1E" w:rsidP="0071511F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FB0CDD">
      <w:rPr>
        <w:rFonts w:ascii="Arial" w:hAnsi="Arial" w:cs="Arial"/>
        <w:b/>
        <w:sz w:val="21"/>
        <w:szCs w:val="21"/>
      </w:rPr>
      <w:t>August</w:t>
    </w:r>
    <w:r w:rsidR="003A3FD0" w:rsidRPr="003A3FD0">
      <w:rPr>
        <w:rFonts w:ascii="Arial" w:hAnsi="Arial" w:cs="Arial"/>
        <w:b/>
        <w:sz w:val="21"/>
        <w:szCs w:val="21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24208"/>
    <w:rsid w:val="00046824"/>
    <w:rsid w:val="00203BFC"/>
    <w:rsid w:val="002A0C14"/>
    <w:rsid w:val="003A3FD0"/>
    <w:rsid w:val="003B2403"/>
    <w:rsid w:val="004A0AF0"/>
    <w:rsid w:val="00562B42"/>
    <w:rsid w:val="005A2ADE"/>
    <w:rsid w:val="006454F2"/>
    <w:rsid w:val="00645C6F"/>
    <w:rsid w:val="006B459D"/>
    <w:rsid w:val="006C266D"/>
    <w:rsid w:val="0071511F"/>
    <w:rsid w:val="0076176E"/>
    <w:rsid w:val="009D0786"/>
    <w:rsid w:val="009F44FF"/>
    <w:rsid w:val="00A06C1E"/>
    <w:rsid w:val="00A55AEB"/>
    <w:rsid w:val="00A9030D"/>
    <w:rsid w:val="00AC09D6"/>
    <w:rsid w:val="00AD52B1"/>
    <w:rsid w:val="00CD0D2A"/>
    <w:rsid w:val="00D0218E"/>
    <w:rsid w:val="00D40E33"/>
    <w:rsid w:val="00D83F6D"/>
    <w:rsid w:val="00E40904"/>
    <w:rsid w:val="00E72A5D"/>
    <w:rsid w:val="00E977B5"/>
    <w:rsid w:val="00EF322C"/>
    <w:rsid w:val="00FA4BF8"/>
    <w:rsid w:val="00FB0CDD"/>
    <w:rsid w:val="00FC0507"/>
    <w:rsid w:val="00FC6623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4338"/>
    <o:shapelayout v:ext="edit">
      <o:idmap v:ext="edit" data="1"/>
    </o:shapelayout>
  </w:shapeDefaults>
  <w:decimalSymbol w:val="."/>
  <w:listSeparator w:val=",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gauthier@fr.bureauverita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2018-08-21T06:11:00Z</dcterms:created>
  <dcterms:modified xsi:type="dcterms:W3CDTF">2018-08-21T06:11:00Z</dcterms:modified>
</cp:coreProperties>
</file>