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EE2C1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EE2C17" w:rsidRPr="00EE2C17" w:rsidRDefault="00EE2C17" w:rsidP="00EE2C17">
      <w:pPr>
        <w:keepNext/>
        <w:keepLines/>
        <w:shd w:val="clear" w:color="auto" w:fill="FAFAFA"/>
        <w:spacing w:after="0"/>
        <w:outlineLvl w:val="3"/>
        <w:rPr>
          <w:rFonts w:ascii="Arial" w:eastAsia="Times New Roman" w:hAnsi="Arial" w:cs="Arial"/>
          <w:b/>
          <w:iCs/>
          <w:color w:val="000000"/>
          <w:lang w:eastAsia="en-AU"/>
        </w:rPr>
      </w:pPr>
      <w:r w:rsidRPr="00EE2C17">
        <w:rPr>
          <w:rFonts w:ascii="Arial" w:eastAsia="Times New Roman" w:hAnsi="Arial" w:cs="Arial"/>
          <w:b/>
          <w:iCs/>
          <w:color w:val="000000"/>
          <w:lang w:eastAsia="en-AU"/>
        </w:rPr>
        <w:t xml:space="preserve">Title: </w:t>
      </w:r>
      <w:r w:rsidRPr="00EE2C17">
        <w:rPr>
          <w:rFonts w:ascii="Arial" w:eastAsia="Times New Roman" w:hAnsi="Arial" w:cs="Arial"/>
          <w:b/>
          <w:iCs/>
          <w:color w:val="000000"/>
          <w:sz w:val="20"/>
          <w:szCs w:val="20"/>
          <w:lang w:eastAsia="en-AU"/>
        </w:rPr>
        <w:t xml:space="preserve"> </w:t>
      </w:r>
      <w:r w:rsidRPr="00EE2C17">
        <w:rPr>
          <w:rFonts w:ascii="Arial" w:eastAsia="Times New Roman" w:hAnsi="Arial" w:cs="Arial"/>
          <w:b/>
          <w:iCs/>
          <w:color w:val="000000"/>
          <w:lang w:eastAsia="en-AU"/>
        </w:rPr>
        <w:t xml:space="preserve">Summary of Voting results </w:t>
      </w:r>
      <w:r w:rsidR="001E6CEA" w:rsidRPr="001E6CEA">
        <w:rPr>
          <w:rFonts w:ascii="Arial" w:eastAsia="Times New Roman" w:hAnsi="Arial" w:cs="Arial"/>
          <w:b/>
          <w:iCs/>
          <w:color w:val="000000"/>
          <w:lang w:eastAsia="en-AU"/>
        </w:rPr>
        <w:t>on the acceptance of co-operation between National Supervision and Inspection Centre for Explosion Protection and Safety of Instrumentation (SITIIAS/ NEPSI), and National Quality Supervision and Inspection Centre of Hoisting &amp; Metallurgical &amp; Explosion-Proof Electric Machine (CHEM) and Shang Meike Test Technology Co., Ltd / Shanghai Electric Explosion Proof Test Center of Coal Industry (SHC).</w:t>
      </w:r>
    </w:p>
    <w:p w:rsidR="00EE2C17" w:rsidRPr="00EE2C17" w:rsidRDefault="00EE2C17" w:rsidP="00EE2C17">
      <w:pPr>
        <w:rPr>
          <w:lang w:eastAsia="en-AU"/>
        </w:rPr>
      </w:pP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E2C17">
        <w:rPr>
          <w:rFonts w:ascii="Arial" w:eastAsia="Times New Roman" w:hAnsi="Arial" w:cs="Arial"/>
          <w:b/>
        </w:rPr>
        <w:t xml:space="preserve">Circulated to: IECEx Management Committee, ExMC </w:t>
      </w: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EE2C17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0CA71877" wp14:editId="0162449B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13A0B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EE2C17" w:rsidRPr="00EE2C17" w:rsidRDefault="00EE2C17" w:rsidP="00EE2C1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EE2C17" w:rsidRPr="00EE2C17" w:rsidRDefault="00EE2C17" w:rsidP="00EE2C1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EE2C1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EE2C17" w:rsidRPr="00EE2C17" w:rsidRDefault="00EE2C17" w:rsidP="00EE2C17">
      <w:pPr>
        <w:rPr>
          <w:rFonts w:ascii="Arial" w:hAnsi="Arial" w:cs="Arial"/>
          <w:i/>
        </w:rPr>
      </w:pPr>
      <w:r w:rsidRPr="00EE2C17">
        <w:rPr>
          <w:rFonts w:ascii="Arial" w:eastAsia="Times New Roman" w:hAnsi="Arial" w:cs="Arial"/>
        </w:rPr>
        <w:t xml:space="preserve">This document contains a summary of the voting results on </w:t>
      </w:r>
      <w:r w:rsidRPr="00EE2C17">
        <w:rPr>
          <w:rFonts w:ascii="Arial" w:eastAsia="Times New Roman" w:hAnsi="Arial" w:cs="Arial"/>
          <w:i/>
        </w:rPr>
        <w:t>ExMC/14</w:t>
      </w:r>
      <w:r w:rsidR="001E6CEA">
        <w:rPr>
          <w:rFonts w:ascii="Arial" w:eastAsia="Times New Roman" w:hAnsi="Arial" w:cs="Arial"/>
          <w:i/>
        </w:rPr>
        <w:t>92</w:t>
      </w:r>
      <w:r w:rsidRPr="00EE2C17">
        <w:rPr>
          <w:rFonts w:ascii="Arial" w:eastAsia="Times New Roman" w:hAnsi="Arial" w:cs="Arial"/>
          <w:i/>
        </w:rPr>
        <w:t xml:space="preserve"> DV - </w:t>
      </w:r>
      <w:r w:rsidR="001E6CEA" w:rsidRPr="001E6CEA">
        <w:rPr>
          <w:rFonts w:ascii="Arial" w:eastAsia="Times New Roman" w:hAnsi="Arial" w:cs="Arial"/>
          <w:i/>
        </w:rPr>
        <w:t>Vote on the acceptance of co-operation between National Supervision and Inspection Centre for Explosion Protection and Safety of Instrumentation (SITIIAS/ NEPSI), and National Quality Supervision and Inspection Centre of Hoisting &amp; Metallurgical &amp; Explosion-Proof Electric Machine (CHEM) and Shang Meike Test Technology Co., Ltd / Shanghai Electric Explosion Proof Test Center of Coal Industry (SHC).</w:t>
      </w:r>
    </w:p>
    <w:p w:rsidR="00EE2C17" w:rsidRPr="00EE2C17" w:rsidRDefault="00EE2C17" w:rsidP="00EE2C17">
      <w:pPr>
        <w:spacing w:after="0" w:line="240" w:lineRule="auto"/>
        <w:jc w:val="both"/>
        <w:rPr>
          <w:rFonts w:ascii="Arial" w:hAnsi="Arial" w:cs="Arial"/>
          <w:i/>
        </w:rPr>
      </w:pPr>
    </w:p>
    <w:p w:rsidR="00EE2C17" w:rsidRPr="00EE2C17" w:rsidRDefault="00EE2C17" w:rsidP="00EE2C17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EE2C17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EE2C1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E2C17" w:rsidRPr="00EE2C17" w:rsidRDefault="00EE2C17" w:rsidP="00EE2C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EE2C17" w:rsidRPr="00EE2C17" w:rsidTr="00185AEB">
        <w:tc>
          <w:tcPr>
            <w:tcW w:w="4320" w:type="dxa"/>
          </w:tcPr>
          <w:p w:rsidR="00EE2C17" w:rsidRPr="00EE2C17" w:rsidRDefault="00EE2C17" w:rsidP="00EE2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E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EE2C17" w:rsidRPr="00EE2C17" w:rsidRDefault="00EE2C17" w:rsidP="00EE2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E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EE2C17" w:rsidRPr="00EE2C17" w:rsidRDefault="00EE2C17" w:rsidP="00EE2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E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EE2C17" w:rsidRPr="00EE2C17" w:rsidRDefault="00EE2C17" w:rsidP="00EE2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E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EE2C17" w:rsidRPr="00EE2C17" w:rsidRDefault="00EE2C17" w:rsidP="00EE2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E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EE2C17" w:rsidRPr="00EE2C17" w:rsidRDefault="00EE2C17" w:rsidP="00EE2C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EE2C17" w:rsidRPr="00EE2C17" w:rsidRDefault="00EE2C17" w:rsidP="00EE2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E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EE2C17" w:rsidRPr="00EE2C17" w:rsidRDefault="00EE2C17" w:rsidP="00EE2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E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EE2C17" w:rsidRPr="00EE2C17" w:rsidRDefault="00EE2C17" w:rsidP="00EE2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E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EE2C17" w:rsidRPr="00EE2C17" w:rsidRDefault="00EE2C17" w:rsidP="00EE2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E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EE2C17" w:rsidRPr="00EE2C17" w:rsidRDefault="003E3B2E" w:rsidP="00EE2C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EE2C17" w:rsidRPr="00EE2C1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EE2C17" w:rsidRDefault="00EE2C17"/>
    <w:p w:rsidR="00EE2C17" w:rsidRDefault="00EE2C17">
      <w:r>
        <w:br w:type="page"/>
      </w:r>
    </w:p>
    <w:p w:rsidR="00EE2C17" w:rsidRPr="001D0B9E" w:rsidRDefault="00EE2C17" w:rsidP="00EE2C17">
      <w:pPr>
        <w:rPr>
          <w:rFonts w:ascii="Arial" w:hAnsi="Arial" w:cs="Arial"/>
          <w:b/>
          <w:i/>
          <w:color w:val="333333"/>
          <w:sz w:val="19"/>
          <w:szCs w:val="19"/>
        </w:rPr>
      </w:pPr>
      <w:r w:rsidRPr="001D0B9E">
        <w:rPr>
          <w:rFonts w:ascii="Arial" w:hAnsi="Arial" w:cs="Arial"/>
          <w:b/>
          <w:i/>
          <w:color w:val="333333"/>
          <w:sz w:val="19"/>
          <w:szCs w:val="19"/>
        </w:rPr>
        <w:lastRenderedPageBreak/>
        <w:t>Summary of voting results on ExMC/1492/DV</w:t>
      </w:r>
      <w:r w:rsidRPr="001D0B9E">
        <w:rPr>
          <w:sz w:val="19"/>
          <w:szCs w:val="19"/>
        </w:rPr>
        <w:t xml:space="preserve"> </w:t>
      </w:r>
      <w:r w:rsidRPr="001D0B9E">
        <w:rPr>
          <w:rFonts w:ascii="Arial" w:hAnsi="Arial" w:cs="Arial"/>
          <w:b/>
          <w:i/>
          <w:color w:val="333333"/>
          <w:sz w:val="19"/>
          <w:szCs w:val="19"/>
        </w:rPr>
        <w:t>Vote on the acceptance of co-operation between National Supervision and Inspection Centre for Explosion Protection and Safety of Instrumentation (SITIIAS/ NEPSI), and National Quality Supervision and Inspection Centre of Hoisting &amp; Metallurgical &amp; Explosion-Proof Electric Machine (CHEM) and Shang Meike Test Technology Co., Ltd / Shanghai Electric Explosion Proof Test Center of Coal Industry (SHC).</w:t>
      </w:r>
    </w:p>
    <w:p w:rsidR="00EE2C17" w:rsidRPr="001D0B9E" w:rsidRDefault="00EE2C17" w:rsidP="00EE2C17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9"/>
          <w:szCs w:val="19"/>
        </w:rPr>
      </w:pPr>
      <w:r w:rsidRPr="001D0B9E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Circulation Date: 2019 06 07 </w:t>
      </w:r>
    </w:p>
    <w:p w:rsidR="00EE2C17" w:rsidRPr="001D0B9E" w:rsidRDefault="00EE2C17" w:rsidP="00EE2C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AU"/>
        </w:rPr>
      </w:pPr>
      <w:r w:rsidRPr="001D0B9E">
        <w:rPr>
          <w:rFonts w:ascii="Arial" w:eastAsia="Times New Roman" w:hAnsi="Arial" w:cs="Arial"/>
          <w:b/>
          <w:i/>
          <w:iCs/>
          <w:sz w:val="19"/>
          <w:szCs w:val="19"/>
        </w:rPr>
        <w:t>Closing Date:</w:t>
      </w:r>
      <w:r w:rsidRPr="001D0B9E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1D0B9E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2019 07 22  </w:t>
      </w:r>
      <w:r w:rsidRPr="001D0B9E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1D0B9E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1D0B9E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1D0B9E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1D0B9E">
        <w:rPr>
          <w:rFonts w:ascii="Arial" w:eastAsia="Times New Roman" w:hAnsi="Arial" w:cs="Arial"/>
          <w:b/>
          <w:i/>
          <w:iCs/>
          <w:sz w:val="19"/>
          <w:szCs w:val="19"/>
        </w:rPr>
        <w:tab/>
        <w:t xml:space="preserve">        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977"/>
      </w:tblGrid>
      <w:tr w:rsidR="00EE2C17" w:rsidRPr="00EE2C17" w:rsidTr="001D0B9E">
        <w:trPr>
          <w:trHeight w:val="300"/>
        </w:trPr>
        <w:tc>
          <w:tcPr>
            <w:tcW w:w="3397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Country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Vote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:rsidR="00EE2C17" w:rsidRPr="00EE2C17" w:rsidRDefault="003E3B2E" w:rsidP="00EE2C17">
            <w:pPr>
              <w:jc w:val="center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AUSTRALIA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BRAZIL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CANADA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871BA6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</w:tcPr>
          <w:p w:rsidR="00871BA6" w:rsidRPr="00EE2C17" w:rsidRDefault="00871BA6" w:rsidP="00185AEB">
            <w:pPr>
              <w:rPr>
                <w:b/>
              </w:rPr>
            </w:pPr>
            <w:r>
              <w:rPr>
                <w:b/>
              </w:rPr>
              <w:t>CROATIA</w:t>
            </w:r>
          </w:p>
        </w:tc>
        <w:tc>
          <w:tcPr>
            <w:tcW w:w="2268" w:type="dxa"/>
            <w:noWrap/>
          </w:tcPr>
          <w:p w:rsidR="00871BA6" w:rsidRPr="00EE2C17" w:rsidRDefault="00871BA6" w:rsidP="00EE2C17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871BA6" w:rsidRPr="00EE2C17" w:rsidRDefault="00871BA6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CZECH REPUBLIC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DENMARK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FINLAND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FRANCE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GERMANY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HUNGARY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INDIA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ISRAEL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Abstain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1E6CEA" w:rsidP="00185AEB">
            <w:pPr>
              <w:rPr>
                <w:b/>
              </w:rPr>
            </w:pPr>
            <w:r>
              <w:rPr>
                <w:b/>
              </w:rPr>
              <w:t>See Annex A</w:t>
            </w: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ITALY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JAPAN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1D0B9E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</w:tcPr>
          <w:p w:rsidR="001D0B9E" w:rsidRPr="00EE2C17" w:rsidRDefault="001D0B9E" w:rsidP="00185AEB">
            <w:pPr>
              <w:rPr>
                <w:b/>
              </w:rPr>
            </w:pPr>
            <w:r>
              <w:rPr>
                <w:b/>
              </w:rPr>
              <w:t>MALAYSIA</w:t>
            </w:r>
          </w:p>
        </w:tc>
        <w:tc>
          <w:tcPr>
            <w:tcW w:w="2268" w:type="dxa"/>
            <w:noWrap/>
          </w:tcPr>
          <w:p w:rsidR="001D0B9E" w:rsidRPr="00EE2C17" w:rsidRDefault="001D0B9E" w:rsidP="00EE2C17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1D0B9E" w:rsidRPr="00EE2C17" w:rsidRDefault="001D0B9E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NEW ZEALAND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NORWAY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PEOPLES REPUBLIC OF CHINA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POLAND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REPUBLIC OF KOREA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ROMANIA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RUSSIA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SINGAPORE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SLOVENIA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SOUTH AFRICA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1D0B9E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</w:tcPr>
          <w:p w:rsidR="001D0B9E" w:rsidRPr="00EE2C17" w:rsidRDefault="001D0B9E" w:rsidP="00185AEB">
            <w:pPr>
              <w:rPr>
                <w:b/>
              </w:rPr>
            </w:pPr>
            <w:r>
              <w:rPr>
                <w:b/>
              </w:rPr>
              <w:t>SPAIN</w:t>
            </w:r>
          </w:p>
        </w:tc>
        <w:tc>
          <w:tcPr>
            <w:tcW w:w="2268" w:type="dxa"/>
            <w:noWrap/>
          </w:tcPr>
          <w:p w:rsidR="001D0B9E" w:rsidRPr="00EE2C17" w:rsidRDefault="001D0B9E" w:rsidP="00EE2C17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1D0B9E" w:rsidRPr="00EE2C17" w:rsidRDefault="001D0B9E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SWEDEN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TURKEY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EE2C17" w:rsidRPr="007D17D3" w:rsidTr="001D0B9E">
        <w:trPr>
          <w:trHeight w:val="300"/>
        </w:trPr>
        <w:tc>
          <w:tcPr>
            <w:tcW w:w="3397" w:type="dxa"/>
            <w:tcBorders>
              <w:left w:val="double" w:sz="4" w:space="0" w:color="auto"/>
            </w:tcBorders>
            <w:noWrap/>
            <w:hideMark/>
          </w:tcPr>
          <w:p w:rsidR="00EE2C17" w:rsidRPr="00EE2C17" w:rsidRDefault="00EE2C17" w:rsidP="00185AEB">
            <w:pPr>
              <w:rPr>
                <w:b/>
              </w:rPr>
            </w:pPr>
            <w:r w:rsidRPr="00EE2C17">
              <w:rPr>
                <w:b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:rsidR="00EE2C17" w:rsidRPr="00EE2C17" w:rsidRDefault="00EE2C17" w:rsidP="00EE2C17">
            <w:pPr>
              <w:jc w:val="center"/>
              <w:rPr>
                <w:b/>
              </w:rPr>
            </w:pPr>
            <w:r w:rsidRPr="00EE2C17">
              <w:rPr>
                <w:b/>
              </w:rPr>
              <w:t>Yes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E2C17" w:rsidRPr="00EE2C17" w:rsidRDefault="00EE2C17" w:rsidP="00185AEB">
            <w:pPr>
              <w:rPr>
                <w:b/>
              </w:rPr>
            </w:pPr>
          </w:p>
        </w:tc>
      </w:tr>
      <w:tr w:rsidR="00C75444" w:rsidRPr="009F4516" w:rsidTr="001D0B9E">
        <w:trPr>
          <w:trHeight w:val="458"/>
        </w:trPr>
        <w:tc>
          <w:tcPr>
            <w:tcW w:w="3397" w:type="dxa"/>
            <w:vMerge w:val="restart"/>
            <w:tcBorders>
              <w:left w:val="double" w:sz="4" w:space="0" w:color="auto"/>
            </w:tcBorders>
            <w:hideMark/>
          </w:tcPr>
          <w:p w:rsidR="00C75444" w:rsidRPr="009F4516" w:rsidRDefault="00C75444" w:rsidP="00185AE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GoBack" w:colFirst="0" w:colLast="1"/>
            <w:r w:rsidRPr="009F4516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</w:t>
            </w:r>
            <w:r w:rsidR="00871BA6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:rsidR="00C75444" w:rsidRPr="009F4516" w:rsidRDefault="00C75444" w:rsidP="00185AE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45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Members in favour: </w:t>
            </w:r>
            <w:r w:rsidR="00871BA6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  <w:p w:rsidR="00C75444" w:rsidRPr="009F4516" w:rsidRDefault="00C75444" w:rsidP="00185AE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45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Members against: 0 </w:t>
            </w:r>
          </w:p>
          <w:p w:rsidR="00C75444" w:rsidRPr="009F4516" w:rsidRDefault="00C75444" w:rsidP="00185AE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Abstain: 1</w:t>
            </w:r>
          </w:p>
        </w:tc>
        <w:tc>
          <w:tcPr>
            <w:tcW w:w="5245" w:type="dxa"/>
            <w:gridSpan w:val="2"/>
            <w:tcBorders>
              <w:right w:val="double" w:sz="4" w:space="0" w:color="auto"/>
            </w:tcBorders>
            <w:hideMark/>
          </w:tcPr>
          <w:p w:rsidR="00C75444" w:rsidRPr="009F4516" w:rsidRDefault="00C75444" w:rsidP="00185AE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4516">
              <w:rPr>
                <w:rFonts w:ascii="Arial" w:eastAsia="Times New Roman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C75444" w:rsidRPr="009F4516" w:rsidTr="001D0B9E">
        <w:trPr>
          <w:trHeight w:val="457"/>
        </w:trPr>
        <w:tc>
          <w:tcPr>
            <w:tcW w:w="33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75444" w:rsidRPr="009F4516" w:rsidRDefault="00C75444" w:rsidP="00185AE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C75444" w:rsidRPr="009F4516" w:rsidRDefault="00C75444" w:rsidP="001D0B9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13F6">
              <w:rPr>
                <w:rFonts w:ascii="Arial" w:eastAsia="Times New Roman" w:hAnsi="Arial" w:cs="Arial"/>
                <w:b/>
                <w:sz w:val="20"/>
                <w:szCs w:val="20"/>
              </w:rPr>
              <w:t>Status on:</w:t>
            </w:r>
            <w:r w:rsidRPr="009F45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2019 </w:t>
            </w:r>
            <w:r w:rsidR="001D0B9E">
              <w:rPr>
                <w:rFonts w:ascii="Arial" w:eastAsia="Times New Roman" w:hAnsi="Arial" w:cs="Arial"/>
                <w:b/>
                <w:sz w:val="20"/>
                <w:szCs w:val="20"/>
              </w:rPr>
              <w:t>07 22</w:t>
            </w:r>
          </w:p>
        </w:tc>
      </w:tr>
      <w:bookmarkEnd w:id="0"/>
    </w:tbl>
    <w:p w:rsidR="001E6CEA" w:rsidRDefault="001E6CEA"/>
    <w:p w:rsidR="001E6CEA" w:rsidRPr="001E6CEA" w:rsidRDefault="001E6CEA" w:rsidP="001E6CEA">
      <w:pPr>
        <w:rPr>
          <w:rFonts w:ascii="Arial" w:hAnsi="Arial" w:cs="Arial"/>
          <w:b/>
          <w:bCs/>
          <w:i/>
          <w:sz w:val="20"/>
          <w:szCs w:val="20"/>
        </w:rPr>
      </w:pPr>
      <w:r w:rsidRPr="001E6CEA">
        <w:rPr>
          <w:rFonts w:ascii="Arial" w:hAnsi="Arial" w:cs="Arial"/>
          <w:b/>
          <w:bCs/>
          <w:i/>
          <w:sz w:val="20"/>
          <w:szCs w:val="20"/>
        </w:rPr>
        <w:t xml:space="preserve">Vote: Do you agree to the acceptance of co-operation between SIITA/NEPSI an Accepted ExCB and CHEM and SHC Accepted ExTLS? </w:t>
      </w:r>
    </w:p>
    <w:p w:rsidR="001E6CEA" w:rsidRPr="00D94EA3" w:rsidRDefault="001E6CEA" w:rsidP="001E6CEA">
      <w:pPr>
        <w:rPr>
          <w:rFonts w:ascii="Arial" w:hAnsi="Arial" w:cs="Arial"/>
          <w:b/>
          <w:bCs/>
          <w:sz w:val="21"/>
          <w:szCs w:val="21"/>
        </w:rPr>
      </w:pPr>
      <w:r w:rsidRPr="00D94EA3">
        <w:rPr>
          <w:rFonts w:ascii="Arial" w:hAnsi="Arial" w:cs="Arial"/>
          <w:b/>
          <w:bCs/>
          <w:sz w:val="21"/>
          <w:szCs w:val="21"/>
        </w:rPr>
        <w:t xml:space="preserve">Y = In favour </w:t>
      </w:r>
      <w:r w:rsidRPr="00D94EA3">
        <w:rPr>
          <w:rFonts w:ascii="Arial" w:hAnsi="Arial" w:cs="Arial"/>
          <w:b/>
          <w:bCs/>
          <w:sz w:val="21"/>
          <w:szCs w:val="21"/>
        </w:rPr>
        <w:tab/>
      </w:r>
      <w:r w:rsidRPr="00D94EA3">
        <w:rPr>
          <w:rFonts w:ascii="Arial" w:hAnsi="Arial" w:cs="Arial"/>
          <w:b/>
          <w:bCs/>
          <w:sz w:val="21"/>
          <w:szCs w:val="21"/>
        </w:rPr>
        <w:tab/>
        <w:t>N = Against</w:t>
      </w:r>
      <w:r w:rsidRPr="00D94EA3">
        <w:rPr>
          <w:rFonts w:ascii="Arial" w:hAnsi="Arial" w:cs="Arial"/>
          <w:b/>
          <w:bCs/>
          <w:sz w:val="21"/>
          <w:szCs w:val="21"/>
        </w:rPr>
        <w:tab/>
      </w:r>
      <w:r w:rsidRPr="00D94EA3">
        <w:rPr>
          <w:rFonts w:ascii="Arial" w:hAnsi="Arial" w:cs="Arial"/>
          <w:b/>
          <w:bCs/>
          <w:sz w:val="21"/>
          <w:szCs w:val="21"/>
        </w:rPr>
        <w:tab/>
        <w:t>NR = Not received</w:t>
      </w:r>
      <w:r w:rsidRPr="00D94EA3">
        <w:rPr>
          <w:rFonts w:ascii="Arial" w:hAnsi="Arial" w:cs="Arial"/>
          <w:b/>
          <w:bCs/>
          <w:sz w:val="21"/>
          <w:szCs w:val="21"/>
        </w:rPr>
        <w:tab/>
        <w:t>Abstain</w:t>
      </w:r>
    </w:p>
    <w:p w:rsidR="001E6CEA" w:rsidRPr="00D94EA3" w:rsidRDefault="001E6CEA" w:rsidP="001E6CEA">
      <w:pPr>
        <w:rPr>
          <w:rFonts w:ascii="Arial" w:hAnsi="Arial" w:cs="Arial"/>
          <w:b/>
          <w:bCs/>
          <w:sz w:val="21"/>
          <w:szCs w:val="21"/>
        </w:rPr>
      </w:pPr>
    </w:p>
    <w:p w:rsidR="001E6CEA" w:rsidRPr="00D94EA3" w:rsidRDefault="001E6CEA" w:rsidP="001E6CEA">
      <w:pPr>
        <w:pBdr>
          <w:top w:val="single" w:sz="12" w:space="1" w:color="auto"/>
        </w:pBdr>
        <w:rPr>
          <w:rFonts w:ascii="Arial" w:hAnsi="Arial" w:cs="Arial"/>
          <w:b/>
          <w:bCs/>
          <w:sz w:val="21"/>
          <w:szCs w:val="21"/>
        </w:rPr>
      </w:pPr>
    </w:p>
    <w:p w:rsidR="00EE2C17" w:rsidRDefault="001E6CEA" w:rsidP="001E6CEA">
      <w:pPr>
        <w:jc w:val="center"/>
        <w:rPr>
          <w:rFonts w:ascii="Arial" w:hAnsi="Arial" w:cs="Arial"/>
          <w:b/>
        </w:rPr>
      </w:pPr>
      <w:r w:rsidRPr="001E6CEA">
        <w:rPr>
          <w:rFonts w:ascii="Arial" w:hAnsi="Arial" w:cs="Arial"/>
          <w:b/>
        </w:rPr>
        <w:t>ANNEX A</w:t>
      </w:r>
    </w:p>
    <w:p w:rsidR="001E6CEA" w:rsidRDefault="001E6CEA" w:rsidP="001E6CEA">
      <w:pPr>
        <w:jc w:val="center"/>
        <w:rPr>
          <w:rFonts w:ascii="Arial" w:hAnsi="Arial" w:cs="Arial"/>
          <w:b/>
        </w:rPr>
      </w:pPr>
    </w:p>
    <w:p w:rsidR="00DB3BA2" w:rsidRDefault="00DB3BA2" w:rsidP="00DB3B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ISRAEL</w:t>
      </w:r>
    </w:p>
    <w:p w:rsidR="001E6CEA" w:rsidRDefault="001E6CEA" w:rsidP="00361E2E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1E6CEA">
        <w:rPr>
          <w:rFonts w:ascii="Arial" w:eastAsia="Times New Roman" w:hAnsi="Arial" w:cs="Arial"/>
          <w:color w:val="000000"/>
          <w:lang w:eastAsia="en-AU"/>
        </w:rPr>
        <w:t>There isn</w:t>
      </w:r>
      <w:r w:rsidRPr="00DB3BA2">
        <w:rPr>
          <w:rFonts w:ascii="Arial" w:eastAsia="Times New Roman" w:hAnsi="Arial" w:cs="Arial"/>
          <w:color w:val="000000"/>
          <w:lang w:eastAsia="en-AU"/>
        </w:rPr>
        <w:t>’</w:t>
      </w:r>
      <w:r w:rsidRPr="001E6CEA">
        <w:rPr>
          <w:rFonts w:ascii="Arial" w:eastAsia="Times New Roman" w:hAnsi="Arial" w:cs="Arial"/>
          <w:color w:val="000000"/>
          <w:lang w:eastAsia="en-AU"/>
        </w:rPr>
        <w:t>t enough information on the justification, structure and background for this vote.</w:t>
      </w:r>
    </w:p>
    <w:p w:rsidR="00361E2E" w:rsidRDefault="00361E2E" w:rsidP="00361E2E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:rsidR="00361E2E" w:rsidRDefault="00361E2E" w:rsidP="00361E2E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:rsidR="00361E2E" w:rsidRDefault="00361E2E" w:rsidP="00361E2E">
      <w:pPr>
        <w:spacing w:after="0" w:line="240" w:lineRule="auto"/>
        <w:rPr>
          <w:rFonts w:ascii="Arial" w:eastAsia="Times New Roman" w:hAnsi="Arial" w:cs="Arial"/>
          <w:b/>
          <w:color w:val="000000"/>
          <w:lang w:eastAsia="en-AU"/>
        </w:rPr>
      </w:pPr>
      <w:r w:rsidRPr="00361E2E">
        <w:rPr>
          <w:rFonts w:ascii="Arial" w:eastAsia="Times New Roman" w:hAnsi="Arial" w:cs="Arial"/>
          <w:b/>
          <w:color w:val="000000"/>
          <w:lang w:eastAsia="en-AU"/>
        </w:rPr>
        <w:t xml:space="preserve">SECRETARIAT RESPONSE </w:t>
      </w:r>
    </w:p>
    <w:p w:rsidR="00A840A8" w:rsidRDefault="00A840A8" w:rsidP="00361E2E">
      <w:pPr>
        <w:spacing w:after="0" w:line="240" w:lineRule="auto"/>
        <w:rPr>
          <w:rFonts w:ascii="Arial" w:eastAsia="Times New Roman" w:hAnsi="Arial" w:cs="Arial"/>
          <w:b/>
          <w:color w:val="000000"/>
          <w:lang w:eastAsia="en-AU"/>
        </w:rPr>
      </w:pPr>
    </w:p>
    <w:p w:rsidR="00A840A8" w:rsidRPr="003D4CC2" w:rsidRDefault="003D4CC2" w:rsidP="00361E2E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3D4CC2">
        <w:rPr>
          <w:rFonts w:ascii="Arial" w:eastAsia="Times New Roman" w:hAnsi="Arial" w:cs="Arial"/>
          <w:color w:val="000000"/>
          <w:lang w:eastAsia="en-AU"/>
        </w:rPr>
        <w:t xml:space="preserve">All </w:t>
      </w:r>
      <w:r w:rsidR="00A840A8" w:rsidRPr="003D4CC2">
        <w:rPr>
          <w:rFonts w:ascii="Arial" w:eastAsia="Times New Roman" w:hAnsi="Arial" w:cs="Arial"/>
          <w:color w:val="000000"/>
          <w:lang w:eastAsia="en-AU"/>
        </w:rPr>
        <w:t xml:space="preserve">are accepted </w:t>
      </w:r>
      <w:r w:rsidRPr="003D4CC2">
        <w:rPr>
          <w:rFonts w:ascii="Arial" w:eastAsia="Times New Roman" w:hAnsi="Arial" w:cs="Arial"/>
          <w:color w:val="000000"/>
          <w:lang w:eastAsia="en-AU"/>
        </w:rPr>
        <w:t>bodies as ExCB and ExTL</w:t>
      </w:r>
      <w:r w:rsidR="00A840A8" w:rsidRPr="003D4CC2">
        <w:rPr>
          <w:rFonts w:ascii="Arial" w:eastAsia="Times New Roman" w:hAnsi="Arial" w:cs="Arial"/>
          <w:color w:val="000000"/>
          <w:lang w:eastAsia="en-AU"/>
        </w:rPr>
        <w:t xml:space="preserve">s as </w:t>
      </w:r>
      <w:r w:rsidRPr="003D4CC2">
        <w:rPr>
          <w:rFonts w:ascii="Arial" w:eastAsia="Times New Roman" w:hAnsi="Arial" w:cs="Arial"/>
          <w:color w:val="000000"/>
          <w:lang w:eastAsia="en-AU"/>
        </w:rPr>
        <w:t>evidenced</w:t>
      </w:r>
      <w:r w:rsidR="00A840A8" w:rsidRPr="003D4CC2">
        <w:rPr>
          <w:rFonts w:ascii="Arial" w:eastAsia="Times New Roman" w:hAnsi="Arial" w:cs="Arial"/>
          <w:color w:val="000000"/>
          <w:lang w:eastAsia="en-AU"/>
        </w:rPr>
        <w:t xml:space="preserve"> from </w:t>
      </w:r>
      <w:r w:rsidRPr="003D4CC2">
        <w:rPr>
          <w:rFonts w:ascii="Arial" w:eastAsia="Times New Roman" w:hAnsi="Arial" w:cs="Arial"/>
          <w:color w:val="000000"/>
          <w:lang w:eastAsia="en-AU"/>
        </w:rPr>
        <w:t xml:space="preserve">previous assessment reports. This round </w:t>
      </w:r>
      <w:r w:rsidR="00A840A8" w:rsidRPr="003D4CC2">
        <w:rPr>
          <w:rFonts w:ascii="Arial" w:eastAsia="Times New Roman" w:hAnsi="Arial" w:cs="Arial"/>
          <w:color w:val="000000"/>
          <w:lang w:eastAsia="en-AU"/>
        </w:rPr>
        <w:t xml:space="preserve">of voting intended to provide an </w:t>
      </w:r>
      <w:r w:rsidRPr="003D4CC2">
        <w:rPr>
          <w:rFonts w:ascii="Arial" w:eastAsia="Times New Roman" w:hAnsi="Arial" w:cs="Arial"/>
          <w:color w:val="000000"/>
          <w:lang w:eastAsia="en-AU"/>
        </w:rPr>
        <w:t>opportunity</w:t>
      </w:r>
      <w:r w:rsidR="00A840A8" w:rsidRPr="003D4CC2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Pr="003D4CC2">
        <w:rPr>
          <w:rFonts w:ascii="Arial" w:eastAsia="Times New Roman" w:hAnsi="Arial" w:cs="Arial"/>
          <w:color w:val="000000"/>
          <w:lang w:eastAsia="en-AU"/>
        </w:rPr>
        <w:t>for</w:t>
      </w:r>
      <w:r w:rsidR="00A840A8" w:rsidRPr="003D4CC2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Pr="003D4CC2">
        <w:rPr>
          <w:rFonts w:ascii="Arial" w:eastAsia="Times New Roman" w:hAnsi="Arial" w:cs="Arial"/>
          <w:color w:val="000000"/>
          <w:lang w:eastAsia="en-AU"/>
        </w:rPr>
        <w:t xml:space="preserve">the </w:t>
      </w:r>
      <w:r w:rsidR="00A840A8" w:rsidRPr="003D4CC2">
        <w:rPr>
          <w:rFonts w:ascii="Arial" w:eastAsia="Times New Roman" w:hAnsi="Arial" w:cs="Arial"/>
          <w:color w:val="000000"/>
          <w:lang w:eastAsia="en-AU"/>
        </w:rPr>
        <w:t>membership to raise any concerns on matters that may not be apparent to the IECEx.</w:t>
      </w:r>
    </w:p>
    <w:p w:rsidR="001E6CEA" w:rsidRPr="00DB3BA2" w:rsidRDefault="001E6CEA" w:rsidP="001E6CEA">
      <w:pPr>
        <w:jc w:val="center"/>
        <w:rPr>
          <w:rFonts w:ascii="Arial" w:hAnsi="Arial" w:cs="Arial"/>
          <w:b/>
        </w:rPr>
      </w:pPr>
    </w:p>
    <w:sectPr w:rsidR="001E6CEA" w:rsidRPr="00DB3BA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17" w:rsidRDefault="00EE2C17" w:rsidP="00EE2C17">
      <w:pPr>
        <w:spacing w:after="0" w:line="240" w:lineRule="auto"/>
      </w:pPr>
      <w:r>
        <w:separator/>
      </w:r>
    </w:p>
  </w:endnote>
  <w:endnote w:type="continuationSeparator" w:id="0">
    <w:p w:rsidR="00EE2C17" w:rsidRDefault="00EE2C17" w:rsidP="00EE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1589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4CC2" w:rsidRDefault="003D4C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3B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3B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4CC2" w:rsidRDefault="003D4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17" w:rsidRDefault="00EE2C17" w:rsidP="00EE2C17">
      <w:pPr>
        <w:spacing w:after="0" w:line="240" w:lineRule="auto"/>
      </w:pPr>
      <w:r>
        <w:separator/>
      </w:r>
    </w:p>
  </w:footnote>
  <w:footnote w:type="continuationSeparator" w:id="0">
    <w:p w:rsidR="00EE2C17" w:rsidRDefault="00EE2C17" w:rsidP="00EE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17" w:rsidRDefault="00EE2C17">
    <w:pPr>
      <w:pStyle w:val="Header"/>
    </w:pPr>
    <w:r>
      <w:rPr>
        <w:noProof/>
        <w:lang w:eastAsia="en-AU"/>
      </w:rPr>
      <w:drawing>
        <wp:inline distT="0" distB="0" distL="0" distR="0" wp14:anchorId="4D2765E8">
          <wp:extent cx="1123950" cy="4960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50" cy="49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E2C17" w:rsidRPr="00EE2C17" w:rsidRDefault="00EE2C17" w:rsidP="00EE2C17">
    <w:pPr>
      <w:pStyle w:val="Header"/>
      <w:jc w:val="right"/>
      <w:rPr>
        <w:rFonts w:ascii="Arial" w:hAnsi="Arial" w:cs="Arial"/>
        <w:b/>
        <w:sz w:val="21"/>
        <w:szCs w:val="21"/>
      </w:rPr>
    </w:pPr>
    <w:r w:rsidRPr="00EE2C17">
      <w:rPr>
        <w:rFonts w:ascii="Arial" w:hAnsi="Arial" w:cs="Arial"/>
        <w:b/>
        <w:sz w:val="21"/>
        <w:szCs w:val="21"/>
      </w:rPr>
      <w:t>ExMC/</w:t>
    </w:r>
    <w:r w:rsidR="003D4CC2">
      <w:rPr>
        <w:rFonts w:ascii="Arial" w:hAnsi="Arial" w:cs="Arial"/>
        <w:b/>
        <w:sz w:val="21"/>
        <w:szCs w:val="21"/>
      </w:rPr>
      <w:t>1523</w:t>
    </w:r>
    <w:r w:rsidRPr="00EE2C17">
      <w:rPr>
        <w:rFonts w:ascii="Arial" w:hAnsi="Arial" w:cs="Arial"/>
        <w:b/>
        <w:sz w:val="21"/>
        <w:szCs w:val="21"/>
      </w:rPr>
      <w:t>/RV</w:t>
    </w:r>
  </w:p>
  <w:p w:rsidR="00EE2C17" w:rsidRPr="00EE2C17" w:rsidRDefault="00EE2C17" w:rsidP="00EE2C17">
    <w:pPr>
      <w:pStyle w:val="Header"/>
      <w:jc w:val="right"/>
      <w:rPr>
        <w:rFonts w:ascii="Arial" w:hAnsi="Arial" w:cs="Arial"/>
        <w:b/>
        <w:sz w:val="21"/>
        <w:szCs w:val="21"/>
      </w:rPr>
    </w:pPr>
    <w:r w:rsidRPr="00EE2C17">
      <w:rPr>
        <w:rFonts w:ascii="Arial" w:hAnsi="Arial" w:cs="Arial"/>
        <w:b/>
        <w:sz w:val="21"/>
        <w:szCs w:val="21"/>
      </w:rPr>
      <w:t xml:space="preserve">July 2019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17"/>
    <w:rsid w:val="000D18D1"/>
    <w:rsid w:val="001D0B9E"/>
    <w:rsid w:val="001E6CEA"/>
    <w:rsid w:val="00361E2E"/>
    <w:rsid w:val="003D4CC2"/>
    <w:rsid w:val="003E3B2E"/>
    <w:rsid w:val="00871BA6"/>
    <w:rsid w:val="00963134"/>
    <w:rsid w:val="00A840A8"/>
    <w:rsid w:val="00C75444"/>
    <w:rsid w:val="00DB3BA2"/>
    <w:rsid w:val="00E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289DCA1-4239-4FCD-9232-7858E46D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17"/>
  </w:style>
  <w:style w:type="paragraph" w:styleId="Footer">
    <w:name w:val="footer"/>
    <w:basedOn w:val="Normal"/>
    <w:link w:val="FooterChar"/>
    <w:uiPriority w:val="99"/>
    <w:unhideWhenUsed/>
    <w:rsid w:val="00EE2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4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867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11" w:color="0061A6"/>
                            <w:left w:val="single" w:sz="6" w:space="11" w:color="0061A6"/>
                            <w:bottom w:val="single" w:sz="6" w:space="11" w:color="0061A6"/>
                            <w:right w:val="single" w:sz="6" w:space="11" w:color="0061A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7494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11" w:color="0061A6"/>
                            <w:left w:val="single" w:sz="6" w:space="11" w:color="0061A6"/>
                            <w:bottom w:val="single" w:sz="6" w:space="11" w:color="0061A6"/>
                            <w:right w:val="single" w:sz="6" w:space="11" w:color="0061A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2019-07-25T02:31:00Z</dcterms:created>
  <dcterms:modified xsi:type="dcterms:W3CDTF">2019-07-30T01:50:00Z</dcterms:modified>
</cp:coreProperties>
</file>