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ACCD" w14:textId="77777777" w:rsidR="00E13B61" w:rsidRPr="00F96940" w:rsidRDefault="00E13B61" w:rsidP="00E13B61">
      <w:pPr>
        <w:autoSpaceDE w:val="0"/>
        <w:autoSpaceDN w:val="0"/>
        <w:adjustRightInd w:val="0"/>
        <w:spacing w:after="0" w:line="240" w:lineRule="auto"/>
        <w:rPr>
          <w:rFonts w:ascii="Arial" w:eastAsia="Calibri" w:hAnsi="Arial" w:cs="Arial"/>
          <w:b/>
          <w:bCs/>
          <w:color w:val="000000"/>
          <w:sz w:val="23"/>
          <w:szCs w:val="23"/>
          <w:lang w:eastAsia="en-AU"/>
        </w:rPr>
      </w:pPr>
      <w:r w:rsidRPr="00F96940">
        <w:rPr>
          <w:rFonts w:ascii="Arial" w:eastAsia="Calibri"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1B834AE" w14:textId="77777777" w:rsidR="00E13B61" w:rsidRPr="00F96940" w:rsidRDefault="00E13B61" w:rsidP="00E13B61">
      <w:pPr>
        <w:autoSpaceDE w:val="0"/>
        <w:autoSpaceDN w:val="0"/>
        <w:adjustRightInd w:val="0"/>
        <w:spacing w:after="0" w:line="240" w:lineRule="auto"/>
        <w:rPr>
          <w:rFonts w:ascii="Arial" w:eastAsia="Calibri" w:hAnsi="Arial" w:cs="Arial"/>
          <w:color w:val="000000"/>
          <w:sz w:val="23"/>
          <w:szCs w:val="23"/>
          <w:lang w:eastAsia="en-AU"/>
        </w:rPr>
      </w:pPr>
    </w:p>
    <w:p w14:paraId="12C9A286" w14:textId="56B8ACBE" w:rsidR="00E13B61" w:rsidRPr="008B3447" w:rsidRDefault="00E13B61" w:rsidP="00E13B61">
      <w:pPr>
        <w:pBdr>
          <w:between w:val="nil"/>
          <w:bar w:val="nil"/>
        </w:pBdr>
        <w:spacing w:after="0" w:line="240" w:lineRule="auto"/>
        <w:outlineLvl w:val="0"/>
        <w:rPr>
          <w:rFonts w:ascii="Arial" w:eastAsia="Arial Unicode MS" w:hAnsi="Arial" w:cs="Arial"/>
          <w:b/>
          <w:bCs/>
          <w:color w:val="000000"/>
          <w:u w:color="000000"/>
          <w:bdr w:val="nil"/>
          <w:lang w:val="en-AU" w:eastAsia="en-AU"/>
        </w:rPr>
      </w:pPr>
      <w:r w:rsidRPr="00F96940">
        <w:rPr>
          <w:rFonts w:ascii="Arial" w:eastAsia="Calibri" w:hAnsi="Arial" w:cs="Arial"/>
          <w:b/>
          <w:bCs/>
        </w:rPr>
        <w:t xml:space="preserve">Title: </w:t>
      </w:r>
      <w:r w:rsidR="00C41022">
        <w:rPr>
          <w:rFonts w:ascii="Arial" w:eastAsia="Calibri" w:hAnsi="Arial" w:cs="Arial"/>
          <w:b/>
          <w:bCs/>
        </w:rPr>
        <w:t xml:space="preserve">Discussion Document – </w:t>
      </w:r>
      <w:r w:rsidR="00C41022" w:rsidRPr="008B3447">
        <w:rPr>
          <w:rFonts w:ascii="Arial" w:eastAsia="Calibri" w:hAnsi="Arial" w:cs="Arial"/>
          <w:b/>
          <w:bCs/>
          <w:lang w:val="en-AU"/>
        </w:rPr>
        <w:t>Subcontracting of Tests within the IECEx Certified Equipment Scheme</w:t>
      </w:r>
    </w:p>
    <w:p w14:paraId="5C6CA1B5" w14:textId="77777777" w:rsidR="00E13B61" w:rsidRPr="00F96940" w:rsidRDefault="00E13B61" w:rsidP="00E13B61">
      <w:pPr>
        <w:spacing w:after="0" w:line="240" w:lineRule="auto"/>
        <w:outlineLvl w:val="0"/>
        <w:rPr>
          <w:rFonts w:ascii="Arial" w:eastAsia="Arial Unicode MS" w:hAnsi="Arial" w:cs="Arial"/>
          <w:b/>
          <w:bCs/>
          <w:color w:val="000000"/>
          <w:bdr w:val="none" w:sz="0" w:space="0" w:color="auto" w:frame="1"/>
          <w:lang w:val="en-US" w:eastAsia="en-AU"/>
        </w:rPr>
      </w:pPr>
    </w:p>
    <w:p w14:paraId="4E8481FB" w14:textId="77777777" w:rsidR="00E13B61" w:rsidRPr="00F96940" w:rsidRDefault="00E13B61" w:rsidP="00E13B61">
      <w:pPr>
        <w:autoSpaceDE w:val="0"/>
        <w:autoSpaceDN w:val="0"/>
        <w:adjustRightInd w:val="0"/>
        <w:spacing w:after="0" w:line="240" w:lineRule="auto"/>
        <w:rPr>
          <w:rFonts w:ascii="Arial" w:eastAsia="Calibri" w:hAnsi="Arial" w:cs="Arial"/>
          <w:b/>
          <w:bCs/>
          <w:color w:val="000000"/>
          <w:lang w:eastAsia="en-AU"/>
        </w:rPr>
      </w:pPr>
      <w:r w:rsidRPr="008B3447">
        <w:rPr>
          <w:rFonts w:ascii="Arial" w:eastAsia="Calibri" w:hAnsi="Arial" w:cs="Arial"/>
          <w:b/>
          <w:bCs/>
          <w:color w:val="000000"/>
          <w:lang w:val="en-AU" w:eastAsia="en-AU"/>
        </w:rPr>
        <w:t>Circulated</w:t>
      </w:r>
      <w:r w:rsidRPr="00F96940">
        <w:rPr>
          <w:rFonts w:ascii="Arial" w:eastAsia="Calibri" w:hAnsi="Arial" w:cs="Arial"/>
          <w:b/>
          <w:bCs/>
          <w:color w:val="000000"/>
          <w:lang w:eastAsia="en-AU"/>
        </w:rPr>
        <w:t xml:space="preserve"> to: ExTAG – IECEx Testing and Assessment Group</w:t>
      </w:r>
    </w:p>
    <w:p w14:paraId="4C7B633C" w14:textId="77777777" w:rsidR="00E13B61" w:rsidRPr="00F96940" w:rsidRDefault="00E13B61" w:rsidP="00E13B61">
      <w:pPr>
        <w:autoSpaceDE w:val="0"/>
        <w:autoSpaceDN w:val="0"/>
        <w:adjustRightInd w:val="0"/>
        <w:spacing w:after="0" w:line="240" w:lineRule="auto"/>
        <w:rPr>
          <w:rFonts w:ascii="Arial" w:eastAsia="Calibri" w:hAnsi="Arial" w:cs="Arial"/>
          <w:b/>
          <w:bCs/>
          <w:color w:val="000000"/>
          <w:lang w:eastAsia="en-AU"/>
        </w:rPr>
      </w:pPr>
    </w:p>
    <w:p w14:paraId="3001EB64" w14:textId="77777777" w:rsidR="00E13B61" w:rsidRPr="00F96940" w:rsidRDefault="00E13B61" w:rsidP="00E13B61">
      <w:pPr>
        <w:pBdr>
          <w:top w:val="thinThickSmallGap" w:sz="24" w:space="1" w:color="000099"/>
        </w:pBdr>
        <w:autoSpaceDE w:val="0"/>
        <w:autoSpaceDN w:val="0"/>
        <w:adjustRightInd w:val="0"/>
        <w:spacing w:after="0" w:line="240" w:lineRule="auto"/>
        <w:rPr>
          <w:rFonts w:ascii="Arial" w:eastAsia="Calibri" w:hAnsi="Arial" w:cs="Arial"/>
          <w:b/>
          <w:bCs/>
          <w:color w:val="000000"/>
          <w:lang w:eastAsia="en-AU"/>
        </w:rPr>
      </w:pPr>
    </w:p>
    <w:p w14:paraId="54B028E1" w14:textId="77777777" w:rsidR="00E13B61" w:rsidRPr="00F96940" w:rsidRDefault="00E13B61" w:rsidP="00E13B61">
      <w:pPr>
        <w:autoSpaceDE w:val="0"/>
        <w:autoSpaceDN w:val="0"/>
        <w:adjustRightInd w:val="0"/>
        <w:spacing w:after="0" w:line="240" w:lineRule="auto"/>
        <w:jc w:val="center"/>
        <w:rPr>
          <w:rFonts w:ascii="Arial" w:eastAsia="Calibri" w:hAnsi="Arial" w:cs="Arial"/>
          <w:b/>
          <w:bCs/>
          <w:color w:val="000000"/>
          <w:lang w:eastAsia="en-AU"/>
        </w:rPr>
      </w:pPr>
      <w:r w:rsidRPr="00F96940">
        <w:rPr>
          <w:rFonts w:ascii="Arial" w:eastAsia="Calibri" w:hAnsi="Arial" w:cs="Arial"/>
          <w:b/>
          <w:bCs/>
          <w:color w:val="000000"/>
          <w:lang w:eastAsia="en-AU"/>
        </w:rPr>
        <w:t>INTRODUCTION</w:t>
      </w:r>
    </w:p>
    <w:p w14:paraId="48683491" w14:textId="77777777" w:rsidR="00E13B61" w:rsidRPr="00F96940" w:rsidRDefault="00E13B61" w:rsidP="00E13B61">
      <w:pPr>
        <w:autoSpaceDE w:val="0"/>
        <w:autoSpaceDN w:val="0"/>
        <w:adjustRightInd w:val="0"/>
        <w:spacing w:after="0" w:line="240" w:lineRule="auto"/>
        <w:rPr>
          <w:rFonts w:ascii="Arial" w:eastAsia="Calibri" w:hAnsi="Arial" w:cs="Arial"/>
          <w:b/>
          <w:bCs/>
          <w:color w:val="000000"/>
          <w:lang w:eastAsia="en-AU"/>
        </w:rPr>
      </w:pPr>
    </w:p>
    <w:p w14:paraId="7DA6AFA2" w14:textId="3DA85F02" w:rsidR="004366BC" w:rsidRDefault="002F5152" w:rsidP="00C41022">
      <w:pPr>
        <w:pStyle w:val="Default"/>
        <w:rPr>
          <w:rFonts w:ascii="Arial" w:eastAsia="Calibri" w:hAnsi="Arial" w:cs="Arial"/>
          <w:bCs/>
        </w:rPr>
      </w:pPr>
      <w:r>
        <w:rPr>
          <w:rFonts w:ascii="Arial" w:eastAsia="Calibri" w:hAnsi="Arial" w:cs="Arial"/>
          <w:bCs/>
        </w:rPr>
        <w:t>At various times the subject of IECEx requirements surrounding “Subcontracting” of tests arise</w:t>
      </w:r>
      <w:r w:rsidR="004366BC">
        <w:rPr>
          <w:rFonts w:ascii="Arial" w:eastAsia="Calibri" w:hAnsi="Arial" w:cs="Arial"/>
          <w:bCs/>
        </w:rPr>
        <w:t xml:space="preserve"> throughout discussions.</w:t>
      </w:r>
    </w:p>
    <w:p w14:paraId="45D4B840" w14:textId="77777777" w:rsidR="004366BC" w:rsidRDefault="004366BC" w:rsidP="00C41022">
      <w:pPr>
        <w:pStyle w:val="Default"/>
        <w:rPr>
          <w:rFonts w:ascii="Arial" w:eastAsia="Calibri" w:hAnsi="Arial" w:cs="Arial"/>
          <w:bCs/>
        </w:rPr>
      </w:pPr>
    </w:p>
    <w:p w14:paraId="4114B4CB" w14:textId="3DC60A0B" w:rsidR="00C41022" w:rsidRPr="00C41022" w:rsidRDefault="004366BC" w:rsidP="00C41022">
      <w:pPr>
        <w:pStyle w:val="Default"/>
        <w:rPr>
          <w:rFonts w:ascii="Arial" w:eastAsia="Calibri" w:hAnsi="Arial" w:cs="Arial"/>
          <w:bCs/>
        </w:rPr>
      </w:pPr>
      <w:r>
        <w:rPr>
          <w:rFonts w:ascii="Arial" w:eastAsia="Calibri" w:hAnsi="Arial" w:cs="Arial"/>
          <w:bCs/>
        </w:rPr>
        <w:t>In addition, noting c</w:t>
      </w:r>
      <w:r w:rsidR="00C41022">
        <w:rPr>
          <w:rFonts w:ascii="Arial" w:eastAsia="Calibri" w:hAnsi="Arial" w:cs="Arial"/>
          <w:bCs/>
        </w:rPr>
        <w:t xml:space="preserve">hanges included in Edition 3 of ISO/IEC 17025, </w:t>
      </w:r>
      <w:r w:rsidR="00C41022" w:rsidRPr="00A46FFE">
        <w:rPr>
          <w:rFonts w:ascii="Arial" w:eastAsia="Calibri" w:hAnsi="Arial" w:cs="Arial"/>
          <w:bCs/>
          <w:i/>
          <w:iCs/>
        </w:rPr>
        <w:t>General requirements for the competence of testing and calibration laboratories</w:t>
      </w:r>
      <w:r w:rsidR="00C41022">
        <w:rPr>
          <w:rFonts w:ascii="Arial" w:eastAsia="Calibri" w:hAnsi="Arial" w:cs="Arial"/>
          <w:bCs/>
        </w:rPr>
        <w:t xml:space="preserve">, </w:t>
      </w:r>
      <w:r>
        <w:rPr>
          <w:rFonts w:ascii="Arial" w:eastAsia="Calibri" w:hAnsi="Arial" w:cs="Arial"/>
          <w:bCs/>
        </w:rPr>
        <w:t xml:space="preserve">have also </w:t>
      </w:r>
      <w:r w:rsidR="00C41022">
        <w:rPr>
          <w:rFonts w:ascii="Arial" w:eastAsia="Calibri" w:hAnsi="Arial" w:cs="Arial"/>
          <w:bCs/>
        </w:rPr>
        <w:t>result</w:t>
      </w:r>
      <w:r>
        <w:rPr>
          <w:rFonts w:ascii="Arial" w:eastAsia="Calibri" w:hAnsi="Arial" w:cs="Arial"/>
          <w:bCs/>
        </w:rPr>
        <w:t>ed</w:t>
      </w:r>
      <w:r w:rsidR="00C41022">
        <w:rPr>
          <w:rFonts w:ascii="Arial" w:eastAsia="Calibri" w:hAnsi="Arial" w:cs="Arial"/>
          <w:bCs/>
        </w:rPr>
        <w:t xml:space="preserve"> in questions being raised concerning the IECEx 02 Certified Equipment Scheme requirements governing “Subcontracting” of Tests.</w:t>
      </w:r>
    </w:p>
    <w:p w14:paraId="15D11F10" w14:textId="77777777" w:rsidR="00C41022" w:rsidRPr="00C41022" w:rsidRDefault="00C41022" w:rsidP="00C41022">
      <w:pPr>
        <w:pStyle w:val="Default"/>
        <w:rPr>
          <w:rFonts w:ascii="Arial" w:eastAsia="Calibri" w:hAnsi="Arial" w:cs="Arial"/>
          <w:bCs/>
        </w:rPr>
      </w:pPr>
    </w:p>
    <w:p w14:paraId="4A672B83" w14:textId="6936D376" w:rsidR="00A46FFE" w:rsidRPr="008B3447" w:rsidRDefault="00C41022" w:rsidP="00C41022">
      <w:pPr>
        <w:spacing w:line="256" w:lineRule="auto"/>
        <w:rPr>
          <w:rFonts w:ascii="Arial" w:eastAsia="Calibri" w:hAnsi="Arial" w:cs="Arial"/>
          <w:bCs/>
          <w:sz w:val="24"/>
          <w:szCs w:val="24"/>
          <w:lang w:val="en-AU"/>
        </w:rPr>
      </w:pPr>
      <w:r w:rsidRPr="008B3447">
        <w:rPr>
          <w:rFonts w:ascii="Arial" w:eastAsia="Calibri" w:hAnsi="Arial" w:cs="Arial"/>
          <w:bCs/>
          <w:sz w:val="24"/>
          <w:szCs w:val="24"/>
          <w:lang w:val="en-AU"/>
        </w:rPr>
        <w:t>This document, prepared by the IECEx Secretariat, in</w:t>
      </w:r>
      <w:r w:rsidR="00F916FC">
        <w:rPr>
          <w:rFonts w:ascii="Arial" w:eastAsia="Calibri" w:hAnsi="Arial" w:cs="Arial"/>
          <w:bCs/>
          <w:sz w:val="24"/>
          <w:szCs w:val="24"/>
          <w:lang w:val="en-AU"/>
        </w:rPr>
        <w:t xml:space="preserve"> </w:t>
      </w:r>
      <w:r w:rsidRPr="008B3447">
        <w:rPr>
          <w:rFonts w:ascii="Arial" w:eastAsia="Calibri" w:hAnsi="Arial" w:cs="Arial"/>
          <w:bCs/>
          <w:sz w:val="24"/>
          <w:szCs w:val="24"/>
          <w:lang w:val="en-AU"/>
        </w:rPr>
        <w:t xml:space="preserve">consultation with </w:t>
      </w:r>
      <w:r w:rsidR="00A46FFE" w:rsidRPr="008B3447">
        <w:rPr>
          <w:rFonts w:ascii="Arial" w:eastAsia="Calibri" w:hAnsi="Arial" w:cs="Arial"/>
          <w:bCs/>
          <w:sz w:val="24"/>
          <w:szCs w:val="24"/>
          <w:lang w:val="en-AU"/>
        </w:rPr>
        <w:t>ExTAG (IECEx Testing and Assessment Group) and ExAG (IECEx Assessment Group) Officers is to be discussed during the technical session of the 2021 ExTAG Remote Meeting.</w:t>
      </w:r>
    </w:p>
    <w:p w14:paraId="72986361" w14:textId="717C16D1" w:rsidR="00A46FFE" w:rsidRPr="008B3447" w:rsidRDefault="00A46FFE" w:rsidP="00C41022">
      <w:pPr>
        <w:spacing w:line="256" w:lineRule="auto"/>
        <w:rPr>
          <w:rFonts w:ascii="Arial" w:eastAsia="Calibri" w:hAnsi="Arial" w:cs="Arial"/>
          <w:bCs/>
          <w:sz w:val="24"/>
          <w:szCs w:val="24"/>
          <w:lang w:val="en-AU"/>
        </w:rPr>
      </w:pPr>
      <w:r w:rsidRPr="008B3447">
        <w:rPr>
          <w:rFonts w:ascii="Arial" w:eastAsia="Calibri" w:hAnsi="Arial" w:cs="Arial"/>
          <w:bCs/>
          <w:sz w:val="24"/>
          <w:szCs w:val="24"/>
          <w:lang w:val="en-AU"/>
        </w:rPr>
        <w:t xml:space="preserve">ExTAG Members are requested to note this document and be prepared for a brief discussion during the 2021 ExTAG meeting. </w:t>
      </w:r>
    </w:p>
    <w:p w14:paraId="698CAB59" w14:textId="77777777" w:rsidR="00E13B61" w:rsidRPr="00F96940" w:rsidRDefault="00E13B61" w:rsidP="00E13B61">
      <w:pPr>
        <w:spacing w:after="0" w:line="240" w:lineRule="auto"/>
        <w:ind w:left="426" w:hanging="426"/>
        <w:rPr>
          <w:rFonts w:ascii="Arial" w:eastAsia="Times New Roman" w:hAnsi="Arial" w:cs="Arial"/>
          <w:sz w:val="24"/>
          <w:szCs w:val="24"/>
          <w:lang w:val="en-US"/>
        </w:rPr>
      </w:pPr>
    </w:p>
    <w:p w14:paraId="54966413" w14:textId="2E5F8B27" w:rsidR="00E13B61" w:rsidRDefault="004366BC" w:rsidP="00E13B6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IECEx Secretariat</w:t>
      </w:r>
    </w:p>
    <w:p w14:paraId="7F1340FB" w14:textId="305B4272" w:rsidR="00650DAE"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3810D878" w14:textId="232BA714" w:rsidR="00650DAE"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5CB5750B" w14:textId="77777777" w:rsidR="00650DAE" w:rsidRPr="00F96940"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288A1893" w14:textId="6CA0777B" w:rsidR="00E13B61" w:rsidRDefault="00E13B61" w:rsidP="00E13B61">
      <w:pPr>
        <w:spacing w:after="0" w:line="240" w:lineRule="auto"/>
        <w:rPr>
          <w:rFonts w:ascii="Arial" w:eastAsia="Times New Roman" w:hAnsi="Arial" w:cs="Arial Unicode MS"/>
          <w:b/>
          <w:bCs/>
          <w:color w:val="000000"/>
          <w:sz w:val="20"/>
          <w:szCs w:val="20"/>
          <w:lang w:val="en-US" w:eastAsia="en-AU"/>
        </w:rPr>
      </w:pPr>
    </w:p>
    <w:p w14:paraId="63148BFD" w14:textId="264B4EBD" w:rsidR="00E13B61" w:rsidRDefault="00E13B61" w:rsidP="00E13B61">
      <w:pPr>
        <w:spacing w:after="0" w:line="240" w:lineRule="auto"/>
        <w:rPr>
          <w:rFonts w:ascii="Arial" w:eastAsia="Times New Roman" w:hAnsi="Arial" w:cs="Arial Unicode MS"/>
          <w:b/>
          <w:bCs/>
          <w:color w:val="000000"/>
          <w:sz w:val="20"/>
          <w:szCs w:val="20"/>
          <w:lang w:val="en-US" w:eastAsia="en-AU"/>
        </w:rPr>
      </w:pPr>
    </w:p>
    <w:p w14:paraId="32187CBB" w14:textId="7075E421" w:rsidR="00E13B61" w:rsidRDefault="00E13B61" w:rsidP="00E13B61">
      <w:pPr>
        <w:spacing w:after="0" w:line="240" w:lineRule="auto"/>
        <w:rPr>
          <w:rFonts w:ascii="Arial" w:eastAsia="Times New Roman" w:hAnsi="Arial" w:cs="Arial Unicode MS"/>
          <w:b/>
          <w:bCs/>
          <w:color w:val="000000"/>
          <w:sz w:val="20"/>
          <w:szCs w:val="20"/>
          <w:lang w:val="en-US" w:eastAsia="en-AU"/>
        </w:rPr>
      </w:pPr>
    </w:p>
    <w:p w14:paraId="75BDA9CA" w14:textId="77777777" w:rsidR="00E13B61" w:rsidRPr="00F96940" w:rsidRDefault="00E13B61" w:rsidP="00E13B61">
      <w:pPr>
        <w:spacing w:after="0" w:line="240" w:lineRule="auto"/>
        <w:rPr>
          <w:rFonts w:ascii="Arial" w:eastAsia="Times New Roman" w:hAnsi="Arial" w:cs="Arial Unicode MS"/>
          <w:b/>
          <w:bCs/>
          <w:color w:val="000000"/>
          <w:sz w:val="20"/>
          <w:szCs w:val="20"/>
          <w:lang w:val="en-US" w:eastAsia="en-AU"/>
        </w:rPr>
      </w:pPr>
    </w:p>
    <w:p w14:paraId="54DD99EA" w14:textId="77777777" w:rsidR="00E13B61" w:rsidRPr="00F96940" w:rsidRDefault="00E13B61" w:rsidP="00E13B61">
      <w:pPr>
        <w:spacing w:after="0" w:line="240" w:lineRule="auto"/>
        <w:rPr>
          <w:rFonts w:ascii="Arial" w:eastAsia="Times New Roman" w:hAnsi="Arial" w:cs="Arial Unicode MS"/>
          <w:b/>
          <w:bCs/>
          <w:color w:val="000000"/>
          <w:sz w:val="20"/>
          <w:szCs w:val="20"/>
          <w:lang w:val="en-US" w:eastAsia="en-AU"/>
        </w:rPr>
      </w:pPr>
    </w:p>
    <w:p w14:paraId="54669008" w14:textId="77777777" w:rsidR="00E13B61" w:rsidRPr="00F96940" w:rsidRDefault="00E13B61" w:rsidP="00E13B61">
      <w:pPr>
        <w:spacing w:after="0" w:line="240" w:lineRule="auto"/>
        <w:jc w:val="both"/>
        <w:rPr>
          <w:rFonts w:ascii="Arial" w:eastAsia="Arial Unicode MS" w:hAnsi="Arial" w:cs="Arial"/>
          <w:b/>
          <w:bCs/>
          <w:iCs/>
          <w:color w:val="000000"/>
          <w:sz w:val="24"/>
          <w:szCs w:val="24"/>
          <w:bdr w:val="none" w:sz="0" w:space="0" w:color="auto" w:frame="1"/>
          <w:lang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13B61" w:rsidRPr="00F96940" w14:paraId="275B1C1E" w14:textId="77777777" w:rsidTr="00D70D15">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7DB05D91"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u w:val="single" w:color="000000"/>
                <w:bdr w:val="none" w:sz="0" w:space="0" w:color="auto" w:frame="1"/>
                <w:lang w:val="en-US" w:eastAsia="en-AU"/>
              </w:rPr>
              <w:t>Address</w:t>
            </w:r>
            <w:r w:rsidRPr="00F96940">
              <w:rPr>
                <w:rFonts w:ascii="Arial" w:eastAsia="Arial Unicode MS" w:hAnsi="Arial" w:cs="Arial"/>
                <w:b/>
                <w:bCs/>
                <w:color w:val="0000FF"/>
                <w:sz w:val="21"/>
                <w:szCs w:val="21"/>
                <w:bdr w:val="none" w:sz="0" w:space="0" w:color="auto" w:frame="1"/>
                <w:lang w:val="en-US" w:eastAsia="en-AU"/>
              </w:rPr>
              <w:t>:</w:t>
            </w:r>
          </w:p>
          <w:p w14:paraId="72027BA2"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IECEx Secretariat</w:t>
            </w:r>
          </w:p>
          <w:p w14:paraId="644DEEB6"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Level 33 Australia Square</w:t>
            </w:r>
          </w:p>
          <w:p w14:paraId="1CCB9582"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264 George Street</w:t>
            </w:r>
          </w:p>
          <w:p w14:paraId="49336A74"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Sydney NSW 2000</w:t>
            </w:r>
          </w:p>
          <w:p w14:paraId="5487AFE4" w14:textId="77777777" w:rsidR="00E13B61" w:rsidRPr="00F96940"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Australia</w:t>
            </w:r>
          </w:p>
          <w:p w14:paraId="7473B02A" w14:textId="77777777" w:rsidR="00E13B61" w:rsidRPr="00F96940"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 xml:space="preserve">Web: </w:t>
            </w:r>
            <w:hyperlink r:id="rId7" w:history="1">
              <w:r w:rsidRPr="00F96940">
                <w:rPr>
                  <w:rFonts w:ascii="Arial" w:eastAsia="Arial Unicode MS" w:hAnsi="Arial" w:cs="Arial"/>
                  <w:b/>
                  <w:bCs/>
                  <w:color w:val="0563C1"/>
                  <w:sz w:val="21"/>
                  <w:szCs w:val="21"/>
                  <w:u w:val="single"/>
                  <w:bdr w:val="none" w:sz="0" w:space="0" w:color="auto" w:frame="1"/>
                  <w:lang w:val="en-US" w:eastAsia="en-AU"/>
                </w:rPr>
                <w:t>www.iecex.com</w:t>
              </w:r>
            </w:hyperlink>
          </w:p>
          <w:p w14:paraId="153A4282" w14:textId="77777777" w:rsidR="00E13B61" w:rsidRPr="00F96940"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77162374" w14:textId="77777777" w:rsidR="00E13B61" w:rsidRPr="00F96940" w:rsidRDefault="00E13B61" w:rsidP="00D70D15">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6FCBCCA3" w14:textId="78767050"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72BFAADD" w14:textId="3E0ADF97"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42306EB6" w14:textId="57140133"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357EED80" w14:textId="616A1786"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3E154938" w14:textId="51A6C581"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66F30A49" w14:textId="6C64B10D" w:rsidR="006321EE" w:rsidRPr="00DB25EA" w:rsidRDefault="009373CE" w:rsidP="00DB25EA">
      <w:pPr>
        <w:pStyle w:val="ListParagraph"/>
        <w:numPr>
          <w:ilvl w:val="0"/>
          <w:numId w:val="2"/>
        </w:numPr>
        <w:autoSpaceDE w:val="0"/>
        <w:autoSpaceDN w:val="0"/>
        <w:adjustRightInd w:val="0"/>
        <w:spacing w:after="0" w:line="240" w:lineRule="auto"/>
        <w:jc w:val="both"/>
        <w:rPr>
          <w:rFonts w:ascii="Arial" w:eastAsia="Times New Roman" w:hAnsi="Arial" w:cs="Arial"/>
          <w:b/>
          <w:sz w:val="24"/>
          <w:szCs w:val="24"/>
          <w:lang w:val="en-AU"/>
        </w:rPr>
      </w:pPr>
      <w:r w:rsidRPr="00DB25EA">
        <w:rPr>
          <w:rFonts w:ascii="Arial" w:eastAsia="Times New Roman" w:hAnsi="Arial" w:cs="Arial"/>
          <w:b/>
          <w:sz w:val="24"/>
          <w:szCs w:val="24"/>
          <w:lang w:val="en-AU"/>
        </w:rPr>
        <w:t>Background</w:t>
      </w:r>
    </w:p>
    <w:p w14:paraId="701C8958" w14:textId="11CDED28" w:rsidR="009373CE" w:rsidRDefault="009373CE" w:rsidP="006F1E17">
      <w:pPr>
        <w:autoSpaceDE w:val="0"/>
        <w:autoSpaceDN w:val="0"/>
        <w:adjustRightInd w:val="0"/>
        <w:spacing w:after="0" w:line="240" w:lineRule="auto"/>
        <w:jc w:val="both"/>
        <w:rPr>
          <w:rFonts w:ascii="Arial" w:eastAsia="Times New Roman" w:hAnsi="Arial" w:cs="Arial"/>
          <w:b/>
          <w:sz w:val="24"/>
          <w:szCs w:val="24"/>
          <w:lang w:val="en-AU"/>
        </w:rPr>
      </w:pPr>
    </w:p>
    <w:p w14:paraId="240FD87F" w14:textId="786FC560" w:rsidR="009373CE" w:rsidRDefault="00D71E78"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The subject of “Subcontracting” of tests is certainly not new to IECEx discussions.  ExTAG members may recall past ExTAG discussions such as the 2014 ExTAG meeting where document ExTAG/325/CD “use of subcontractors” was discussed with the 2014 ExTAG meeting agreeing to the following resolution {Mins ExTAG/346/R}</w:t>
      </w:r>
    </w:p>
    <w:p w14:paraId="4C2DF786" w14:textId="1A7DC099" w:rsidR="00D71E78" w:rsidRDefault="00D71E78" w:rsidP="006F1E17">
      <w:pPr>
        <w:autoSpaceDE w:val="0"/>
        <w:autoSpaceDN w:val="0"/>
        <w:adjustRightInd w:val="0"/>
        <w:spacing w:after="0" w:line="240" w:lineRule="auto"/>
        <w:jc w:val="both"/>
        <w:rPr>
          <w:rFonts w:ascii="Arial" w:eastAsia="Times New Roman" w:hAnsi="Arial" w:cs="Arial"/>
          <w:bCs/>
          <w:sz w:val="24"/>
          <w:szCs w:val="24"/>
          <w:lang w:val="en-AU"/>
        </w:rPr>
      </w:pPr>
    </w:p>
    <w:p w14:paraId="7380F1A6" w14:textId="54208EDF" w:rsidR="00D71E78" w:rsidRPr="008B3447" w:rsidRDefault="00D71E78" w:rsidP="00D71E78">
      <w:pPr>
        <w:tabs>
          <w:tab w:val="left" w:pos="8310"/>
        </w:tabs>
        <w:spacing w:after="0" w:line="240" w:lineRule="auto"/>
        <w:jc w:val="both"/>
        <w:rPr>
          <w:rFonts w:ascii="Arial" w:hAnsi="Arial" w:cs="Arial"/>
          <w:color w:val="0070C0"/>
          <w:sz w:val="24"/>
          <w:szCs w:val="24"/>
          <w:lang w:val="en-AU"/>
        </w:rPr>
      </w:pPr>
      <w:r w:rsidRPr="00F916FC">
        <w:rPr>
          <w:rFonts w:ascii="Arial" w:eastAsia="Times New Roman" w:hAnsi="Arial" w:cs="Arial"/>
          <w:bCs/>
          <w:color w:val="0070C0"/>
          <w:sz w:val="24"/>
          <w:szCs w:val="24"/>
          <w:lang w:val="en-AU"/>
        </w:rPr>
        <w:t>“</w:t>
      </w:r>
      <w:r w:rsidRPr="008B3447">
        <w:rPr>
          <w:rFonts w:ascii="Arial" w:hAnsi="Arial" w:cs="Arial"/>
          <w:i/>
          <w:iCs/>
          <w:color w:val="0070C0"/>
          <w:sz w:val="24"/>
          <w:szCs w:val="24"/>
          <w:lang w:val="en-AU"/>
        </w:rPr>
        <w:t xml:space="preserve">The discussion was then extended to include the definition of minimum test equipment required for a Test Laboratory. The IECEx Secretary suggested that ExMC WG02 includes in the TCD the list of minimum test equipment for each standard. It was also agreed by the members, that even for the tests concerned by </w:t>
      </w:r>
      <w:proofErr w:type="gramStart"/>
      <w:r w:rsidRPr="008B3447">
        <w:rPr>
          <w:rFonts w:ascii="Arial" w:hAnsi="Arial" w:cs="Arial"/>
          <w:i/>
          <w:iCs/>
          <w:color w:val="0070C0"/>
          <w:sz w:val="24"/>
          <w:szCs w:val="24"/>
          <w:lang w:val="en-AU"/>
        </w:rPr>
        <w:t>these equipment</w:t>
      </w:r>
      <w:proofErr w:type="gramEnd"/>
      <w:r w:rsidRPr="008B3447">
        <w:rPr>
          <w:rFonts w:ascii="Arial" w:hAnsi="Arial" w:cs="Arial"/>
          <w:i/>
          <w:iCs/>
          <w:color w:val="0070C0"/>
          <w:sz w:val="24"/>
          <w:szCs w:val="24"/>
          <w:lang w:val="en-AU"/>
        </w:rPr>
        <w:t>, subcontracting may be possible, for example because of temporary capacity issues</w:t>
      </w:r>
      <w:r w:rsidRPr="008B3447">
        <w:rPr>
          <w:rFonts w:ascii="Arial" w:hAnsi="Arial" w:cs="Arial"/>
          <w:color w:val="0070C0"/>
          <w:sz w:val="24"/>
          <w:szCs w:val="24"/>
          <w:lang w:val="en-AU"/>
        </w:rPr>
        <w:t>.</w:t>
      </w:r>
      <w:r w:rsidR="00F1634D">
        <w:rPr>
          <w:rFonts w:ascii="Arial" w:hAnsi="Arial" w:cs="Arial"/>
          <w:color w:val="0070C0"/>
          <w:sz w:val="24"/>
          <w:szCs w:val="24"/>
          <w:lang w:val="en-AU"/>
        </w:rPr>
        <w:t>”</w:t>
      </w:r>
    </w:p>
    <w:p w14:paraId="65527D27" w14:textId="34C354EE" w:rsidR="00D71E78" w:rsidRPr="009373CE" w:rsidRDefault="00D71E78" w:rsidP="006F1E17">
      <w:pPr>
        <w:autoSpaceDE w:val="0"/>
        <w:autoSpaceDN w:val="0"/>
        <w:adjustRightInd w:val="0"/>
        <w:spacing w:after="0" w:line="240" w:lineRule="auto"/>
        <w:jc w:val="both"/>
        <w:rPr>
          <w:rFonts w:ascii="Arial" w:eastAsia="Times New Roman" w:hAnsi="Arial" w:cs="Arial"/>
          <w:bCs/>
          <w:sz w:val="24"/>
          <w:szCs w:val="24"/>
          <w:lang w:val="en-AU"/>
        </w:rPr>
      </w:pPr>
    </w:p>
    <w:p w14:paraId="5F7A7924" w14:textId="641A3467" w:rsidR="001B5376" w:rsidRDefault="001B5376"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One of the results from the 2014 ExTAG discussions was the inclusion of “Minimum Testing Capability” in the IECEx Technical Capability Documents (TCDs) used for the IECEx peer assessment of</w:t>
      </w:r>
      <w:r w:rsidR="003447A6">
        <w:rPr>
          <w:rFonts w:ascii="Arial" w:eastAsia="Times New Roman" w:hAnsi="Arial" w:cs="Arial"/>
          <w:bCs/>
          <w:sz w:val="24"/>
          <w:szCs w:val="24"/>
          <w:lang w:val="en-AU"/>
        </w:rPr>
        <w:t xml:space="preserve"> IECEx Testing Laboratories, </w:t>
      </w:r>
      <w:r>
        <w:rPr>
          <w:rFonts w:ascii="Arial" w:eastAsia="Times New Roman" w:hAnsi="Arial" w:cs="Arial"/>
          <w:bCs/>
          <w:sz w:val="24"/>
          <w:szCs w:val="24"/>
          <w:lang w:val="en-AU"/>
        </w:rPr>
        <w:t xml:space="preserve">ExTLs and candidate ExTLs. </w:t>
      </w:r>
    </w:p>
    <w:p w14:paraId="51D5A0BC" w14:textId="77777777" w:rsidR="001B5376" w:rsidRDefault="001B5376" w:rsidP="006F1E17">
      <w:pPr>
        <w:autoSpaceDE w:val="0"/>
        <w:autoSpaceDN w:val="0"/>
        <w:adjustRightInd w:val="0"/>
        <w:spacing w:after="0" w:line="240" w:lineRule="auto"/>
        <w:jc w:val="both"/>
        <w:rPr>
          <w:rFonts w:ascii="Arial" w:eastAsia="Times New Roman" w:hAnsi="Arial" w:cs="Arial"/>
          <w:bCs/>
          <w:sz w:val="24"/>
          <w:szCs w:val="24"/>
          <w:lang w:val="en-AU"/>
        </w:rPr>
      </w:pPr>
    </w:p>
    <w:p w14:paraId="35E6E076" w14:textId="0015E6FE" w:rsidR="006321EE" w:rsidRDefault="001B5376"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Various levels of use of </w:t>
      </w:r>
      <w:r w:rsidR="00D71E78" w:rsidRPr="00D71E78">
        <w:rPr>
          <w:rFonts w:ascii="Arial" w:eastAsia="Times New Roman" w:hAnsi="Arial" w:cs="Arial"/>
          <w:bCs/>
          <w:sz w:val="24"/>
          <w:szCs w:val="24"/>
          <w:lang w:val="en-AU"/>
        </w:rPr>
        <w:t>subcontracting by an ExTL is a</w:t>
      </w:r>
      <w:r w:rsidR="00D71E78">
        <w:rPr>
          <w:rFonts w:ascii="Arial" w:eastAsia="Times New Roman" w:hAnsi="Arial" w:cs="Arial"/>
          <w:bCs/>
          <w:sz w:val="24"/>
          <w:szCs w:val="24"/>
          <w:lang w:val="en-AU"/>
        </w:rPr>
        <w:t xml:space="preserve"> necessary part of daily business </w:t>
      </w:r>
      <w:r w:rsidR="00307235">
        <w:rPr>
          <w:rFonts w:ascii="Arial" w:eastAsia="Times New Roman" w:hAnsi="Arial" w:cs="Arial"/>
          <w:bCs/>
          <w:sz w:val="24"/>
          <w:szCs w:val="24"/>
          <w:lang w:val="en-AU"/>
        </w:rPr>
        <w:t xml:space="preserve">due to </w:t>
      </w:r>
      <w:r>
        <w:rPr>
          <w:rFonts w:ascii="Arial" w:eastAsia="Times New Roman" w:hAnsi="Arial" w:cs="Arial"/>
          <w:bCs/>
          <w:sz w:val="24"/>
          <w:szCs w:val="24"/>
          <w:lang w:val="en-AU"/>
        </w:rPr>
        <w:t>either or both:</w:t>
      </w:r>
    </w:p>
    <w:p w14:paraId="1468540E" w14:textId="016D6279" w:rsidR="00307235" w:rsidRDefault="00307235" w:rsidP="006F1E17">
      <w:pPr>
        <w:autoSpaceDE w:val="0"/>
        <w:autoSpaceDN w:val="0"/>
        <w:adjustRightInd w:val="0"/>
        <w:spacing w:after="0" w:line="240" w:lineRule="auto"/>
        <w:jc w:val="both"/>
        <w:rPr>
          <w:rFonts w:ascii="Arial" w:eastAsia="Times New Roman" w:hAnsi="Arial" w:cs="Arial"/>
          <w:bCs/>
          <w:sz w:val="24"/>
          <w:szCs w:val="24"/>
          <w:lang w:val="en-AU"/>
        </w:rPr>
      </w:pPr>
    </w:p>
    <w:p w14:paraId="5C677713" w14:textId="634B59EA" w:rsidR="00307235" w:rsidRDefault="00307235" w:rsidP="00307235">
      <w:pPr>
        <w:pStyle w:val="ListParagraph"/>
        <w:numPr>
          <w:ilvl w:val="0"/>
          <w:numId w:val="1"/>
        </w:num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Limitation of resources (equipment/expertise) to undertake specialised tests that may only be conducted very infrequently</w:t>
      </w:r>
      <w:r w:rsidR="001B5376">
        <w:rPr>
          <w:rFonts w:ascii="Arial" w:eastAsia="Times New Roman" w:hAnsi="Arial" w:cs="Arial"/>
          <w:bCs/>
          <w:sz w:val="24"/>
          <w:szCs w:val="24"/>
          <w:lang w:val="en-AU"/>
        </w:rPr>
        <w:t xml:space="preserve">, </w:t>
      </w:r>
      <w:r w:rsidR="00F3341D">
        <w:rPr>
          <w:rFonts w:ascii="Arial" w:eastAsia="Times New Roman" w:hAnsi="Arial" w:cs="Arial"/>
          <w:bCs/>
          <w:sz w:val="24"/>
          <w:szCs w:val="24"/>
          <w:lang w:val="en-AU"/>
        </w:rPr>
        <w:t>for example,</w:t>
      </w:r>
      <w:r w:rsidR="001B5376">
        <w:rPr>
          <w:rFonts w:ascii="Arial" w:eastAsia="Times New Roman" w:hAnsi="Arial" w:cs="Arial"/>
          <w:bCs/>
          <w:sz w:val="24"/>
          <w:szCs w:val="24"/>
          <w:lang w:val="en-AU"/>
        </w:rPr>
        <w:t xml:space="preserve"> CTI (Comparative Tracking Index) testing</w:t>
      </w:r>
      <w:r>
        <w:rPr>
          <w:rFonts w:ascii="Arial" w:eastAsia="Times New Roman" w:hAnsi="Arial" w:cs="Arial"/>
          <w:bCs/>
          <w:sz w:val="24"/>
          <w:szCs w:val="24"/>
          <w:lang w:val="en-AU"/>
        </w:rPr>
        <w:t>; or</w:t>
      </w:r>
    </w:p>
    <w:p w14:paraId="5B2E02AC" w14:textId="77777777" w:rsidR="00307235" w:rsidRDefault="00307235" w:rsidP="00307235">
      <w:pPr>
        <w:pStyle w:val="ListParagraph"/>
        <w:autoSpaceDE w:val="0"/>
        <w:autoSpaceDN w:val="0"/>
        <w:adjustRightInd w:val="0"/>
        <w:spacing w:after="0" w:line="240" w:lineRule="auto"/>
        <w:jc w:val="both"/>
        <w:rPr>
          <w:rFonts w:ascii="Arial" w:eastAsia="Times New Roman" w:hAnsi="Arial" w:cs="Arial"/>
          <w:bCs/>
          <w:sz w:val="24"/>
          <w:szCs w:val="24"/>
          <w:lang w:val="en-AU"/>
        </w:rPr>
      </w:pPr>
    </w:p>
    <w:p w14:paraId="3C5F788A" w14:textId="37D5D1B4" w:rsidR="00307235" w:rsidRDefault="00307235" w:rsidP="00307235">
      <w:pPr>
        <w:pStyle w:val="ListParagraph"/>
        <w:numPr>
          <w:ilvl w:val="0"/>
          <w:numId w:val="1"/>
        </w:num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As a result of capacity issues relating to workload or sample size limitation etc.</w:t>
      </w:r>
    </w:p>
    <w:p w14:paraId="013E9DEE" w14:textId="77777777" w:rsidR="00307235" w:rsidRPr="00307235" w:rsidRDefault="00307235" w:rsidP="00307235">
      <w:pPr>
        <w:pStyle w:val="ListParagraph"/>
        <w:rPr>
          <w:rFonts w:ascii="Arial" w:eastAsia="Times New Roman" w:hAnsi="Arial" w:cs="Arial"/>
          <w:bCs/>
          <w:sz w:val="24"/>
          <w:szCs w:val="24"/>
          <w:lang w:val="en-AU"/>
        </w:rPr>
      </w:pPr>
    </w:p>
    <w:p w14:paraId="20DAB42B" w14:textId="5CD322A1" w:rsidR="00307235" w:rsidRDefault="00307235" w:rsidP="00307235">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During early development of the IECEx Certified Equipment Scheme, a key principle </w:t>
      </w:r>
      <w:r w:rsidR="004366BC">
        <w:rPr>
          <w:rFonts w:ascii="Arial" w:eastAsia="Times New Roman" w:hAnsi="Arial" w:cs="Arial"/>
          <w:bCs/>
          <w:sz w:val="24"/>
          <w:szCs w:val="24"/>
          <w:lang w:val="en-AU"/>
        </w:rPr>
        <w:t xml:space="preserve">established </w:t>
      </w:r>
      <w:r>
        <w:rPr>
          <w:rFonts w:ascii="Arial" w:eastAsia="Times New Roman" w:hAnsi="Arial" w:cs="Arial"/>
          <w:bCs/>
          <w:sz w:val="24"/>
          <w:szCs w:val="24"/>
          <w:lang w:val="en-AU"/>
        </w:rPr>
        <w:t>requir</w:t>
      </w:r>
      <w:r w:rsidR="004366BC">
        <w:rPr>
          <w:rFonts w:ascii="Arial" w:eastAsia="Times New Roman" w:hAnsi="Arial" w:cs="Arial"/>
          <w:bCs/>
          <w:sz w:val="24"/>
          <w:szCs w:val="24"/>
          <w:lang w:val="en-AU"/>
        </w:rPr>
        <w:t>ed</w:t>
      </w:r>
      <w:r>
        <w:rPr>
          <w:rFonts w:ascii="Arial" w:eastAsia="Times New Roman" w:hAnsi="Arial" w:cs="Arial"/>
          <w:bCs/>
          <w:sz w:val="24"/>
          <w:szCs w:val="24"/>
          <w:lang w:val="en-AU"/>
        </w:rPr>
        <w:t xml:space="preserve"> ExTLs to have and maintain a certain level of testing capability, </w:t>
      </w:r>
      <w:r w:rsidR="004366BC">
        <w:rPr>
          <w:rFonts w:ascii="Arial" w:eastAsia="Times New Roman" w:hAnsi="Arial" w:cs="Arial"/>
          <w:bCs/>
          <w:sz w:val="24"/>
          <w:szCs w:val="24"/>
          <w:lang w:val="en-AU"/>
        </w:rPr>
        <w:t xml:space="preserve">as </w:t>
      </w:r>
      <w:r>
        <w:rPr>
          <w:rFonts w:ascii="Arial" w:eastAsia="Times New Roman" w:hAnsi="Arial" w:cs="Arial"/>
          <w:bCs/>
          <w:sz w:val="24"/>
          <w:szCs w:val="24"/>
          <w:lang w:val="en-AU"/>
        </w:rPr>
        <w:t>determined by the collective IECEx Membership.  This principle has been maintained through the years of IECE</w:t>
      </w:r>
      <w:r w:rsidR="00C52E5A">
        <w:rPr>
          <w:rFonts w:ascii="Arial" w:eastAsia="Times New Roman" w:hAnsi="Arial" w:cs="Arial"/>
          <w:bCs/>
          <w:sz w:val="24"/>
          <w:szCs w:val="24"/>
          <w:lang w:val="en-AU"/>
        </w:rPr>
        <w:t>x</w:t>
      </w:r>
      <w:r>
        <w:rPr>
          <w:rFonts w:ascii="Arial" w:eastAsia="Times New Roman" w:hAnsi="Arial" w:cs="Arial"/>
          <w:bCs/>
          <w:sz w:val="24"/>
          <w:szCs w:val="24"/>
          <w:lang w:val="en-AU"/>
        </w:rPr>
        <w:t xml:space="preserve">’s development and continues today.  In support of this </w:t>
      </w:r>
      <w:r w:rsidR="00C52E5A">
        <w:rPr>
          <w:rFonts w:ascii="Arial" w:eastAsia="Times New Roman" w:hAnsi="Arial" w:cs="Arial"/>
          <w:bCs/>
          <w:sz w:val="24"/>
          <w:szCs w:val="24"/>
          <w:lang w:val="en-AU"/>
        </w:rPr>
        <w:t xml:space="preserve">principle IECEx through its specialist Working Group, ExMC WG2 developed and maintain the IECEx TCD to address each standard used within the IECEx 02 Certified Equipment Scheme. Current editions of TCDs are available from </w:t>
      </w:r>
      <w:hyperlink r:id="rId8" w:history="1">
        <w:r w:rsidR="00C52E5A" w:rsidRPr="004B16D5">
          <w:rPr>
            <w:rStyle w:val="Hyperlink"/>
            <w:rFonts w:ascii="Arial" w:eastAsia="Times New Roman" w:hAnsi="Arial" w:cs="Arial"/>
            <w:bCs/>
            <w:sz w:val="24"/>
            <w:szCs w:val="24"/>
            <w:lang w:val="en-AU"/>
          </w:rPr>
          <w:t>https://www.iecex.com/members-area/documents/tcds/</w:t>
        </w:r>
      </w:hyperlink>
      <w:r w:rsidR="00C52E5A">
        <w:rPr>
          <w:rFonts w:ascii="Arial" w:eastAsia="Times New Roman" w:hAnsi="Arial" w:cs="Arial"/>
          <w:bCs/>
          <w:sz w:val="24"/>
          <w:szCs w:val="24"/>
          <w:lang w:val="en-AU"/>
        </w:rPr>
        <w:t xml:space="preserve"> </w:t>
      </w:r>
    </w:p>
    <w:p w14:paraId="1E5F4D10" w14:textId="491C30A2" w:rsidR="00C52E5A" w:rsidRDefault="00C52E5A" w:rsidP="00307235">
      <w:pPr>
        <w:autoSpaceDE w:val="0"/>
        <w:autoSpaceDN w:val="0"/>
        <w:adjustRightInd w:val="0"/>
        <w:spacing w:after="0" w:line="240" w:lineRule="auto"/>
        <w:jc w:val="both"/>
        <w:rPr>
          <w:rFonts w:ascii="Arial" w:eastAsia="Times New Roman" w:hAnsi="Arial" w:cs="Arial"/>
          <w:bCs/>
          <w:sz w:val="24"/>
          <w:szCs w:val="24"/>
          <w:lang w:val="en-AU"/>
        </w:rPr>
      </w:pPr>
    </w:p>
    <w:p w14:paraId="037DED5F" w14:textId="5B600DE7" w:rsidR="00E14044" w:rsidRDefault="00C52E5A" w:rsidP="00307235">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The TCDs have evolved to be an integral instrument and tool for conducting IECEx assessments of Laboratories seeking to join IECEx and for the 5 year re-assessment of ExTLs</w:t>
      </w:r>
      <w:r w:rsidR="003447A6">
        <w:rPr>
          <w:rFonts w:ascii="Arial" w:eastAsia="Times New Roman" w:hAnsi="Arial" w:cs="Arial"/>
          <w:bCs/>
          <w:sz w:val="24"/>
          <w:szCs w:val="24"/>
          <w:lang w:val="en-AU"/>
        </w:rPr>
        <w:t>.</w:t>
      </w:r>
    </w:p>
    <w:p w14:paraId="7D8F9518" w14:textId="77777777" w:rsidR="00E14044" w:rsidRDefault="00E14044" w:rsidP="00307235">
      <w:pPr>
        <w:autoSpaceDE w:val="0"/>
        <w:autoSpaceDN w:val="0"/>
        <w:adjustRightInd w:val="0"/>
        <w:spacing w:after="0" w:line="240" w:lineRule="auto"/>
        <w:jc w:val="both"/>
        <w:rPr>
          <w:rFonts w:ascii="Arial" w:eastAsia="Times New Roman" w:hAnsi="Arial" w:cs="Arial"/>
          <w:bCs/>
          <w:sz w:val="24"/>
          <w:szCs w:val="24"/>
          <w:lang w:val="en-AU"/>
        </w:rPr>
      </w:pPr>
    </w:p>
    <w:p w14:paraId="271CE402" w14:textId="429FF85B" w:rsidR="00DB25EA" w:rsidRDefault="004366BC" w:rsidP="00307235">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To be clear </w:t>
      </w:r>
      <w:r w:rsidR="00E14044">
        <w:rPr>
          <w:rFonts w:ascii="Arial" w:eastAsia="Times New Roman" w:hAnsi="Arial" w:cs="Arial"/>
          <w:bCs/>
          <w:sz w:val="24"/>
          <w:szCs w:val="24"/>
          <w:lang w:val="en-AU"/>
        </w:rPr>
        <w:t xml:space="preserve">subcontracting of tests is still a </w:t>
      </w:r>
      <w:r w:rsidR="002B2D35">
        <w:rPr>
          <w:rFonts w:ascii="Arial" w:eastAsia="Times New Roman" w:hAnsi="Arial" w:cs="Arial"/>
          <w:bCs/>
          <w:sz w:val="24"/>
          <w:szCs w:val="24"/>
          <w:lang w:val="en-AU"/>
        </w:rPr>
        <w:t xml:space="preserve">provision </w:t>
      </w:r>
      <w:r w:rsidR="00E14044">
        <w:rPr>
          <w:rFonts w:ascii="Arial" w:eastAsia="Times New Roman" w:hAnsi="Arial" w:cs="Arial"/>
          <w:bCs/>
          <w:sz w:val="24"/>
          <w:szCs w:val="24"/>
          <w:lang w:val="en-AU"/>
        </w:rPr>
        <w:t xml:space="preserve">used </w:t>
      </w:r>
      <w:r>
        <w:rPr>
          <w:rFonts w:ascii="Arial" w:eastAsia="Times New Roman" w:hAnsi="Arial" w:cs="Arial"/>
          <w:bCs/>
          <w:sz w:val="24"/>
          <w:szCs w:val="24"/>
          <w:lang w:val="en-AU"/>
        </w:rPr>
        <w:t xml:space="preserve">within </w:t>
      </w:r>
      <w:r w:rsidR="00E14044">
        <w:rPr>
          <w:rFonts w:ascii="Arial" w:eastAsia="Times New Roman" w:hAnsi="Arial" w:cs="Arial"/>
          <w:bCs/>
          <w:sz w:val="24"/>
          <w:szCs w:val="24"/>
          <w:lang w:val="en-AU"/>
        </w:rPr>
        <w:t>the IECEx 02 Certified equipment Scheme</w:t>
      </w:r>
      <w:r>
        <w:rPr>
          <w:rFonts w:ascii="Arial" w:eastAsia="Times New Roman" w:hAnsi="Arial" w:cs="Arial"/>
          <w:bCs/>
          <w:sz w:val="24"/>
          <w:szCs w:val="24"/>
          <w:lang w:val="en-AU"/>
        </w:rPr>
        <w:t xml:space="preserve">, under </w:t>
      </w:r>
      <w:r w:rsidR="00A349B5">
        <w:rPr>
          <w:rFonts w:ascii="Arial" w:eastAsia="Times New Roman" w:hAnsi="Arial" w:cs="Arial"/>
          <w:bCs/>
          <w:sz w:val="24"/>
          <w:szCs w:val="24"/>
          <w:lang w:val="en-AU"/>
        </w:rPr>
        <w:t>set guidelines and provisions</w:t>
      </w:r>
      <w:r w:rsidR="00E14044">
        <w:rPr>
          <w:rFonts w:ascii="Arial" w:eastAsia="Times New Roman" w:hAnsi="Arial" w:cs="Arial"/>
          <w:bCs/>
          <w:sz w:val="24"/>
          <w:szCs w:val="24"/>
          <w:lang w:val="en-AU"/>
        </w:rPr>
        <w:t xml:space="preserve">.  </w:t>
      </w:r>
    </w:p>
    <w:p w14:paraId="06AD7414" w14:textId="0F024272" w:rsidR="00DB25EA" w:rsidRDefault="00DB25EA" w:rsidP="00307235">
      <w:pPr>
        <w:autoSpaceDE w:val="0"/>
        <w:autoSpaceDN w:val="0"/>
        <w:adjustRightInd w:val="0"/>
        <w:spacing w:after="0" w:line="240" w:lineRule="auto"/>
        <w:jc w:val="both"/>
        <w:rPr>
          <w:rFonts w:ascii="Arial" w:eastAsia="Times New Roman" w:hAnsi="Arial" w:cs="Arial"/>
          <w:bCs/>
          <w:sz w:val="24"/>
          <w:szCs w:val="24"/>
          <w:lang w:val="en-AU"/>
        </w:rPr>
      </w:pPr>
    </w:p>
    <w:p w14:paraId="64BBB5A0" w14:textId="1033AD65" w:rsidR="003447A6" w:rsidRDefault="003447A6" w:rsidP="00307235">
      <w:pPr>
        <w:autoSpaceDE w:val="0"/>
        <w:autoSpaceDN w:val="0"/>
        <w:adjustRightInd w:val="0"/>
        <w:spacing w:after="0" w:line="240" w:lineRule="auto"/>
        <w:jc w:val="both"/>
        <w:rPr>
          <w:rFonts w:ascii="Arial" w:eastAsia="Times New Roman" w:hAnsi="Arial" w:cs="Arial"/>
          <w:bCs/>
          <w:sz w:val="24"/>
          <w:szCs w:val="24"/>
          <w:lang w:val="en-AU"/>
        </w:rPr>
      </w:pPr>
    </w:p>
    <w:p w14:paraId="298FAF3E" w14:textId="0842B62B" w:rsidR="003447A6" w:rsidRDefault="003447A6" w:rsidP="00307235">
      <w:pPr>
        <w:autoSpaceDE w:val="0"/>
        <w:autoSpaceDN w:val="0"/>
        <w:adjustRightInd w:val="0"/>
        <w:spacing w:after="0" w:line="240" w:lineRule="auto"/>
        <w:jc w:val="both"/>
        <w:rPr>
          <w:rFonts w:ascii="Arial" w:eastAsia="Times New Roman" w:hAnsi="Arial" w:cs="Arial"/>
          <w:bCs/>
          <w:sz w:val="24"/>
          <w:szCs w:val="24"/>
          <w:lang w:val="en-AU"/>
        </w:rPr>
      </w:pPr>
    </w:p>
    <w:p w14:paraId="02533E88" w14:textId="4E928FA4" w:rsidR="003447A6" w:rsidRDefault="003447A6" w:rsidP="00307235">
      <w:pPr>
        <w:autoSpaceDE w:val="0"/>
        <w:autoSpaceDN w:val="0"/>
        <w:adjustRightInd w:val="0"/>
        <w:spacing w:after="0" w:line="240" w:lineRule="auto"/>
        <w:jc w:val="both"/>
        <w:rPr>
          <w:rFonts w:ascii="Arial" w:eastAsia="Times New Roman" w:hAnsi="Arial" w:cs="Arial"/>
          <w:bCs/>
          <w:sz w:val="24"/>
          <w:szCs w:val="24"/>
          <w:lang w:val="en-AU"/>
        </w:rPr>
      </w:pPr>
    </w:p>
    <w:p w14:paraId="679D752C" w14:textId="1EA50DBA" w:rsidR="003447A6" w:rsidRDefault="003447A6" w:rsidP="00307235">
      <w:pPr>
        <w:autoSpaceDE w:val="0"/>
        <w:autoSpaceDN w:val="0"/>
        <w:adjustRightInd w:val="0"/>
        <w:spacing w:after="0" w:line="240" w:lineRule="auto"/>
        <w:jc w:val="both"/>
        <w:rPr>
          <w:rFonts w:ascii="Arial" w:eastAsia="Times New Roman" w:hAnsi="Arial" w:cs="Arial"/>
          <w:bCs/>
          <w:sz w:val="24"/>
          <w:szCs w:val="24"/>
          <w:lang w:val="en-AU"/>
        </w:rPr>
      </w:pPr>
    </w:p>
    <w:p w14:paraId="3D0C4BE6" w14:textId="77777777" w:rsidR="003447A6" w:rsidRDefault="003447A6" w:rsidP="00307235">
      <w:pPr>
        <w:autoSpaceDE w:val="0"/>
        <w:autoSpaceDN w:val="0"/>
        <w:adjustRightInd w:val="0"/>
        <w:spacing w:after="0" w:line="240" w:lineRule="auto"/>
        <w:jc w:val="both"/>
        <w:rPr>
          <w:rFonts w:ascii="Arial" w:eastAsia="Times New Roman" w:hAnsi="Arial" w:cs="Arial"/>
          <w:bCs/>
          <w:sz w:val="24"/>
          <w:szCs w:val="24"/>
          <w:lang w:val="en-AU"/>
        </w:rPr>
      </w:pPr>
    </w:p>
    <w:p w14:paraId="59829E2D" w14:textId="38E0B8A2" w:rsidR="00C52E5A" w:rsidRPr="00DB25EA" w:rsidRDefault="00DB25EA" w:rsidP="00DB25EA">
      <w:pPr>
        <w:pStyle w:val="ListParagraph"/>
        <w:numPr>
          <w:ilvl w:val="0"/>
          <w:numId w:val="2"/>
        </w:numPr>
        <w:autoSpaceDE w:val="0"/>
        <w:autoSpaceDN w:val="0"/>
        <w:adjustRightInd w:val="0"/>
        <w:spacing w:after="0" w:line="240" w:lineRule="auto"/>
        <w:jc w:val="both"/>
        <w:rPr>
          <w:rFonts w:ascii="Arial" w:eastAsia="Times New Roman" w:hAnsi="Arial" w:cs="Arial"/>
          <w:b/>
          <w:sz w:val="24"/>
          <w:szCs w:val="24"/>
          <w:lang w:val="en-AU"/>
        </w:rPr>
      </w:pPr>
      <w:r w:rsidRPr="00DB25EA">
        <w:rPr>
          <w:rFonts w:ascii="Arial" w:eastAsia="Times New Roman" w:hAnsi="Arial" w:cs="Arial"/>
          <w:b/>
          <w:sz w:val="24"/>
          <w:szCs w:val="24"/>
          <w:lang w:val="en-AU"/>
        </w:rPr>
        <w:lastRenderedPageBreak/>
        <w:t>“Subcontracting” versus “Contracting”</w:t>
      </w:r>
      <w:r w:rsidR="00C52E5A" w:rsidRPr="00DB25EA">
        <w:rPr>
          <w:rFonts w:ascii="Arial" w:eastAsia="Times New Roman" w:hAnsi="Arial" w:cs="Arial"/>
          <w:b/>
          <w:sz w:val="24"/>
          <w:szCs w:val="24"/>
          <w:lang w:val="en-AU"/>
        </w:rPr>
        <w:t xml:space="preserve"> </w:t>
      </w:r>
    </w:p>
    <w:p w14:paraId="642C0CE1" w14:textId="77777777" w:rsidR="006321EE" w:rsidRPr="00D71E78" w:rsidRDefault="006321EE" w:rsidP="006F1E17">
      <w:pPr>
        <w:autoSpaceDE w:val="0"/>
        <w:autoSpaceDN w:val="0"/>
        <w:adjustRightInd w:val="0"/>
        <w:spacing w:after="0" w:line="240" w:lineRule="auto"/>
        <w:jc w:val="both"/>
        <w:rPr>
          <w:rFonts w:ascii="Arial" w:eastAsia="Times New Roman" w:hAnsi="Arial" w:cs="Arial"/>
          <w:bCs/>
          <w:sz w:val="24"/>
          <w:szCs w:val="24"/>
          <w:lang w:val="en-AU"/>
        </w:rPr>
      </w:pPr>
    </w:p>
    <w:p w14:paraId="02580ACB" w14:textId="7BE7EC09" w:rsidR="0050558C" w:rsidRDefault="00DB25EA"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When discussing the topic of Subcontracting it is important that a distinct separation is made between subcontracting with an organisation </w:t>
      </w:r>
      <w:r w:rsidR="003447A6">
        <w:rPr>
          <w:rFonts w:ascii="Arial" w:eastAsia="Times New Roman" w:hAnsi="Arial" w:cs="Arial"/>
          <w:bCs/>
          <w:sz w:val="24"/>
          <w:szCs w:val="24"/>
          <w:lang w:val="en-AU"/>
        </w:rPr>
        <w:t xml:space="preserve">versus </w:t>
      </w:r>
      <w:r>
        <w:rPr>
          <w:rFonts w:ascii="Arial" w:eastAsia="Times New Roman" w:hAnsi="Arial" w:cs="Arial"/>
          <w:bCs/>
          <w:sz w:val="24"/>
          <w:szCs w:val="24"/>
          <w:lang w:val="en-AU"/>
        </w:rPr>
        <w:t>contracting of persons to support the human</w:t>
      </w:r>
      <w:r w:rsidR="000B759C">
        <w:rPr>
          <w:rFonts w:ascii="Arial" w:eastAsia="Times New Roman" w:hAnsi="Arial" w:cs="Arial"/>
          <w:bCs/>
          <w:sz w:val="24"/>
          <w:szCs w:val="24"/>
          <w:lang w:val="en-AU"/>
        </w:rPr>
        <w:t xml:space="preserve"> resources of an ExTL</w:t>
      </w:r>
      <w:r w:rsidR="0050558C">
        <w:rPr>
          <w:rFonts w:ascii="Arial" w:eastAsia="Times New Roman" w:hAnsi="Arial" w:cs="Arial"/>
          <w:bCs/>
          <w:sz w:val="24"/>
          <w:szCs w:val="24"/>
          <w:lang w:val="en-AU"/>
        </w:rPr>
        <w:t>.</w:t>
      </w:r>
    </w:p>
    <w:p w14:paraId="2DEF6CF8" w14:textId="77777777" w:rsidR="0050558C" w:rsidRDefault="0050558C" w:rsidP="006F1E17">
      <w:pPr>
        <w:autoSpaceDE w:val="0"/>
        <w:autoSpaceDN w:val="0"/>
        <w:adjustRightInd w:val="0"/>
        <w:spacing w:after="0" w:line="240" w:lineRule="auto"/>
        <w:jc w:val="both"/>
        <w:rPr>
          <w:rFonts w:ascii="Arial" w:eastAsia="Times New Roman" w:hAnsi="Arial" w:cs="Arial"/>
          <w:bCs/>
          <w:sz w:val="24"/>
          <w:szCs w:val="24"/>
          <w:lang w:val="en-AU"/>
        </w:rPr>
      </w:pPr>
    </w:p>
    <w:p w14:paraId="6F224982" w14:textId="5CC55653" w:rsidR="007E2594" w:rsidRDefault="0050558C"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For the purposes of IECEx </w:t>
      </w:r>
      <w:r w:rsidR="003447A6">
        <w:rPr>
          <w:rFonts w:ascii="Arial" w:eastAsia="Times New Roman" w:hAnsi="Arial" w:cs="Arial"/>
          <w:bCs/>
          <w:sz w:val="24"/>
          <w:szCs w:val="24"/>
          <w:lang w:val="en-AU"/>
        </w:rPr>
        <w:t xml:space="preserve">peer </w:t>
      </w:r>
      <w:r>
        <w:rPr>
          <w:rFonts w:ascii="Arial" w:eastAsia="Times New Roman" w:hAnsi="Arial" w:cs="Arial"/>
          <w:bCs/>
          <w:sz w:val="24"/>
          <w:szCs w:val="24"/>
          <w:lang w:val="en-AU"/>
        </w:rPr>
        <w:t xml:space="preserve">assessments of ExTLs and IECEx Certification Bodies (ExCBs) the clear distinction made has long been that contracted resources, </w:t>
      </w:r>
      <w:r w:rsidR="00204525">
        <w:rPr>
          <w:rFonts w:ascii="Arial" w:eastAsia="Times New Roman" w:hAnsi="Arial" w:cs="Arial"/>
          <w:bCs/>
          <w:sz w:val="24"/>
          <w:szCs w:val="24"/>
          <w:lang w:val="en-AU"/>
        </w:rPr>
        <w:t>for example,</w:t>
      </w:r>
      <w:r>
        <w:rPr>
          <w:rFonts w:ascii="Arial" w:eastAsia="Times New Roman" w:hAnsi="Arial" w:cs="Arial"/>
          <w:bCs/>
          <w:sz w:val="24"/>
          <w:szCs w:val="24"/>
          <w:lang w:val="en-AU"/>
        </w:rPr>
        <w:t xml:space="preserve"> contracted </w:t>
      </w:r>
      <w:r w:rsidR="000B759C">
        <w:rPr>
          <w:rFonts w:ascii="Arial" w:eastAsia="Times New Roman" w:hAnsi="Arial" w:cs="Arial"/>
          <w:bCs/>
          <w:sz w:val="24"/>
          <w:szCs w:val="24"/>
          <w:lang w:val="en-AU"/>
        </w:rPr>
        <w:t xml:space="preserve">Quality Management System (QMS) </w:t>
      </w:r>
      <w:r>
        <w:rPr>
          <w:rFonts w:ascii="Arial" w:eastAsia="Times New Roman" w:hAnsi="Arial" w:cs="Arial"/>
          <w:bCs/>
          <w:sz w:val="24"/>
          <w:szCs w:val="24"/>
          <w:lang w:val="en-AU"/>
        </w:rPr>
        <w:t>auditors</w:t>
      </w:r>
      <w:r w:rsidR="000B759C">
        <w:rPr>
          <w:rFonts w:ascii="Arial" w:eastAsia="Times New Roman" w:hAnsi="Arial" w:cs="Arial"/>
          <w:bCs/>
          <w:sz w:val="24"/>
          <w:szCs w:val="24"/>
          <w:lang w:val="en-AU"/>
        </w:rPr>
        <w:t>,</w:t>
      </w:r>
      <w:r>
        <w:rPr>
          <w:rFonts w:ascii="Arial" w:eastAsia="Times New Roman" w:hAnsi="Arial" w:cs="Arial"/>
          <w:bCs/>
          <w:sz w:val="24"/>
          <w:szCs w:val="24"/>
          <w:lang w:val="en-AU"/>
        </w:rPr>
        <w:t xml:space="preserve"> are regarded as a contracting arrangement, similar to an employment contract </w:t>
      </w:r>
      <w:r w:rsidR="007E2594">
        <w:rPr>
          <w:rFonts w:ascii="Arial" w:eastAsia="Times New Roman" w:hAnsi="Arial" w:cs="Arial"/>
          <w:bCs/>
          <w:sz w:val="24"/>
          <w:szCs w:val="24"/>
          <w:lang w:val="en-AU"/>
        </w:rPr>
        <w:t xml:space="preserve">with staff, as both employees and contracted persons, such as </w:t>
      </w:r>
      <w:r w:rsidR="000B759C">
        <w:rPr>
          <w:rFonts w:ascii="Arial" w:eastAsia="Times New Roman" w:hAnsi="Arial" w:cs="Arial"/>
          <w:bCs/>
          <w:sz w:val="24"/>
          <w:szCs w:val="24"/>
          <w:lang w:val="en-AU"/>
        </w:rPr>
        <w:t xml:space="preserve">QMS </w:t>
      </w:r>
      <w:r w:rsidR="007E2594">
        <w:rPr>
          <w:rFonts w:ascii="Arial" w:eastAsia="Times New Roman" w:hAnsi="Arial" w:cs="Arial"/>
          <w:bCs/>
          <w:sz w:val="24"/>
          <w:szCs w:val="24"/>
          <w:lang w:val="en-AU"/>
        </w:rPr>
        <w:t>auditors have their training and competence evaluated by the ExTL or ExCB engaging them AND both employees and contracted staff MUST conduct their work in accordance with the procedures and work instructions of the ExTL or ExCB they work for.</w:t>
      </w:r>
    </w:p>
    <w:p w14:paraId="5104ED65" w14:textId="77777777" w:rsidR="007E2594" w:rsidRDefault="007E2594" w:rsidP="006F1E17">
      <w:pPr>
        <w:autoSpaceDE w:val="0"/>
        <w:autoSpaceDN w:val="0"/>
        <w:adjustRightInd w:val="0"/>
        <w:spacing w:after="0" w:line="240" w:lineRule="auto"/>
        <w:jc w:val="both"/>
        <w:rPr>
          <w:rFonts w:ascii="Arial" w:eastAsia="Times New Roman" w:hAnsi="Arial" w:cs="Arial"/>
          <w:bCs/>
          <w:sz w:val="24"/>
          <w:szCs w:val="24"/>
          <w:lang w:val="en-AU"/>
        </w:rPr>
      </w:pPr>
    </w:p>
    <w:p w14:paraId="0B9F80D8" w14:textId="4F1FFD31" w:rsidR="007E2594" w:rsidRDefault="007E2594"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When ExTLs and ExCBs are assessed by the IECEx Assessment Teams, both employees and contracted persons are regarded as one in the same with the ExTL and ExCB under assessment needing to demonstrate systems and procedures addressing training and evaluation of </w:t>
      </w:r>
      <w:r w:rsidR="003447A6">
        <w:rPr>
          <w:rFonts w:ascii="Arial" w:eastAsia="Times New Roman" w:hAnsi="Arial" w:cs="Arial"/>
          <w:bCs/>
          <w:sz w:val="24"/>
          <w:szCs w:val="24"/>
          <w:lang w:val="en-AU"/>
        </w:rPr>
        <w:t>ALL</w:t>
      </w:r>
      <w:r>
        <w:rPr>
          <w:rFonts w:ascii="Arial" w:eastAsia="Times New Roman" w:hAnsi="Arial" w:cs="Arial"/>
          <w:bCs/>
          <w:sz w:val="24"/>
          <w:szCs w:val="24"/>
          <w:lang w:val="en-AU"/>
        </w:rPr>
        <w:t xml:space="preserve"> persons t</w:t>
      </w:r>
      <w:r w:rsidR="003447A6">
        <w:rPr>
          <w:rFonts w:ascii="Arial" w:eastAsia="Times New Roman" w:hAnsi="Arial" w:cs="Arial"/>
          <w:bCs/>
          <w:sz w:val="24"/>
          <w:szCs w:val="24"/>
          <w:lang w:val="en-AU"/>
        </w:rPr>
        <w:t xml:space="preserve">hat </w:t>
      </w:r>
      <w:r>
        <w:rPr>
          <w:rFonts w:ascii="Arial" w:eastAsia="Times New Roman" w:hAnsi="Arial" w:cs="Arial"/>
          <w:bCs/>
          <w:sz w:val="24"/>
          <w:szCs w:val="24"/>
          <w:lang w:val="en-AU"/>
        </w:rPr>
        <w:t xml:space="preserve">perform </w:t>
      </w:r>
      <w:r w:rsidR="003447A6">
        <w:rPr>
          <w:rFonts w:ascii="Arial" w:eastAsia="Times New Roman" w:hAnsi="Arial" w:cs="Arial"/>
          <w:bCs/>
          <w:sz w:val="24"/>
          <w:szCs w:val="24"/>
          <w:lang w:val="en-AU"/>
        </w:rPr>
        <w:t xml:space="preserve">key tasks </w:t>
      </w:r>
      <w:r>
        <w:rPr>
          <w:rFonts w:ascii="Arial" w:eastAsia="Times New Roman" w:hAnsi="Arial" w:cs="Arial"/>
          <w:bCs/>
          <w:sz w:val="24"/>
          <w:szCs w:val="24"/>
          <w:lang w:val="en-AU"/>
        </w:rPr>
        <w:t xml:space="preserve">within the </w:t>
      </w:r>
      <w:r w:rsidR="003447A6">
        <w:rPr>
          <w:rFonts w:ascii="Arial" w:eastAsia="Times New Roman" w:hAnsi="Arial" w:cs="Arial"/>
          <w:bCs/>
          <w:sz w:val="24"/>
          <w:szCs w:val="24"/>
          <w:lang w:val="en-AU"/>
        </w:rPr>
        <w:t>ExTL or ExCB</w:t>
      </w:r>
      <w:r>
        <w:rPr>
          <w:rFonts w:ascii="Arial" w:eastAsia="Times New Roman" w:hAnsi="Arial" w:cs="Arial"/>
          <w:bCs/>
          <w:sz w:val="24"/>
          <w:szCs w:val="24"/>
          <w:lang w:val="en-AU"/>
        </w:rPr>
        <w:t>.</w:t>
      </w:r>
    </w:p>
    <w:p w14:paraId="0DBD77FC" w14:textId="77777777" w:rsidR="007E2594" w:rsidRDefault="007E2594" w:rsidP="006F1E17">
      <w:pPr>
        <w:autoSpaceDE w:val="0"/>
        <w:autoSpaceDN w:val="0"/>
        <w:adjustRightInd w:val="0"/>
        <w:spacing w:after="0" w:line="240" w:lineRule="auto"/>
        <w:jc w:val="both"/>
        <w:rPr>
          <w:rFonts w:ascii="Arial" w:eastAsia="Times New Roman" w:hAnsi="Arial" w:cs="Arial"/>
          <w:bCs/>
          <w:sz w:val="24"/>
          <w:szCs w:val="24"/>
          <w:lang w:val="en-AU"/>
        </w:rPr>
      </w:pPr>
    </w:p>
    <w:p w14:paraId="6EB2E174" w14:textId="531A7B66" w:rsidR="007E2594" w:rsidRDefault="007E2594"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When it comes to “Subcontracting” </w:t>
      </w:r>
      <w:r w:rsidR="00266384">
        <w:rPr>
          <w:rFonts w:ascii="Arial" w:eastAsia="Times New Roman" w:hAnsi="Arial" w:cs="Arial"/>
          <w:bCs/>
          <w:sz w:val="24"/>
          <w:szCs w:val="24"/>
          <w:lang w:val="en-AU"/>
        </w:rPr>
        <w:t xml:space="preserve">this is a term </w:t>
      </w:r>
      <w:r w:rsidR="000B759C">
        <w:rPr>
          <w:rFonts w:ascii="Arial" w:eastAsia="Times New Roman" w:hAnsi="Arial" w:cs="Arial"/>
          <w:bCs/>
          <w:sz w:val="24"/>
          <w:szCs w:val="24"/>
          <w:lang w:val="en-AU"/>
        </w:rPr>
        <w:t xml:space="preserve">used </w:t>
      </w:r>
      <w:r w:rsidR="00266384">
        <w:rPr>
          <w:rFonts w:ascii="Arial" w:eastAsia="Times New Roman" w:hAnsi="Arial" w:cs="Arial"/>
          <w:bCs/>
          <w:sz w:val="24"/>
          <w:szCs w:val="24"/>
          <w:lang w:val="en-AU"/>
        </w:rPr>
        <w:t xml:space="preserve">to identify the “Outsourcing” of tasks/work to another organisation, relying on that other organisation’s own internal </w:t>
      </w:r>
      <w:r w:rsidR="00F37548">
        <w:rPr>
          <w:rFonts w:ascii="Arial" w:eastAsia="Times New Roman" w:hAnsi="Arial" w:cs="Arial"/>
          <w:bCs/>
          <w:sz w:val="24"/>
          <w:szCs w:val="24"/>
          <w:lang w:val="en-AU"/>
        </w:rPr>
        <w:t xml:space="preserve">Quality Management System’s </w:t>
      </w:r>
      <w:r w:rsidR="00266384">
        <w:rPr>
          <w:rFonts w:ascii="Arial" w:eastAsia="Times New Roman" w:hAnsi="Arial" w:cs="Arial"/>
          <w:bCs/>
          <w:sz w:val="24"/>
          <w:szCs w:val="24"/>
          <w:lang w:val="en-AU"/>
        </w:rPr>
        <w:t>procedures and systems for having the task/work performed to the satisfaction of the ExTL or ExCB that has engaged the “other organisation”.</w:t>
      </w:r>
    </w:p>
    <w:p w14:paraId="433066D2" w14:textId="7B0696B0" w:rsidR="00266384" w:rsidRDefault="00266384" w:rsidP="006F1E17">
      <w:pPr>
        <w:autoSpaceDE w:val="0"/>
        <w:autoSpaceDN w:val="0"/>
        <w:adjustRightInd w:val="0"/>
        <w:spacing w:after="0" w:line="240" w:lineRule="auto"/>
        <w:jc w:val="both"/>
        <w:rPr>
          <w:rFonts w:ascii="Arial" w:eastAsia="Times New Roman" w:hAnsi="Arial" w:cs="Arial"/>
          <w:bCs/>
          <w:sz w:val="24"/>
          <w:szCs w:val="24"/>
          <w:lang w:val="en-AU"/>
        </w:rPr>
      </w:pPr>
    </w:p>
    <w:p w14:paraId="2F59FBA0" w14:textId="77777777" w:rsidR="00E72E19" w:rsidRPr="00E72E19" w:rsidRDefault="00F37548" w:rsidP="00E72E19">
      <w:pPr>
        <w:autoSpaceDE w:val="0"/>
        <w:autoSpaceDN w:val="0"/>
        <w:adjustRightInd w:val="0"/>
        <w:spacing w:after="0" w:line="240" w:lineRule="auto"/>
        <w:rPr>
          <w:rFonts w:ascii="Arial" w:eastAsia="Times New Roman" w:hAnsi="Arial" w:cs="Arial"/>
          <w:bCs/>
          <w:i/>
          <w:iCs/>
          <w:sz w:val="24"/>
          <w:szCs w:val="24"/>
          <w:lang w:val="en-AU"/>
        </w:rPr>
      </w:pPr>
      <w:r>
        <w:rPr>
          <w:rFonts w:ascii="Arial" w:eastAsia="Times New Roman" w:hAnsi="Arial" w:cs="Arial"/>
          <w:bCs/>
          <w:sz w:val="24"/>
          <w:szCs w:val="24"/>
          <w:lang w:val="en-AU"/>
        </w:rPr>
        <w:t xml:space="preserve">A quick look at International Standard, ISO/IEC 17021-1 </w:t>
      </w:r>
      <w:r w:rsidR="00E72E19" w:rsidRPr="00E72E19">
        <w:rPr>
          <w:rFonts w:ascii="Arial" w:eastAsia="Times New Roman" w:hAnsi="Arial" w:cs="Arial"/>
          <w:bCs/>
          <w:i/>
          <w:iCs/>
          <w:sz w:val="24"/>
          <w:szCs w:val="24"/>
          <w:lang w:val="en-AU"/>
        </w:rPr>
        <w:t>Conformity assessment —</w:t>
      </w:r>
    </w:p>
    <w:p w14:paraId="19DD531E" w14:textId="6FC3C8AD" w:rsidR="00E72E19" w:rsidRPr="00E72E19" w:rsidRDefault="00E72E19" w:rsidP="00E72E19">
      <w:pPr>
        <w:autoSpaceDE w:val="0"/>
        <w:autoSpaceDN w:val="0"/>
        <w:adjustRightInd w:val="0"/>
        <w:spacing w:after="0" w:line="240" w:lineRule="auto"/>
        <w:rPr>
          <w:rFonts w:ascii="Arial" w:eastAsia="Times New Roman" w:hAnsi="Arial" w:cs="Arial"/>
          <w:bCs/>
          <w:i/>
          <w:iCs/>
          <w:sz w:val="24"/>
          <w:szCs w:val="24"/>
          <w:lang w:val="en-AU"/>
        </w:rPr>
      </w:pPr>
      <w:r w:rsidRPr="00E72E19">
        <w:rPr>
          <w:rFonts w:ascii="Arial" w:eastAsia="Times New Roman" w:hAnsi="Arial" w:cs="Arial"/>
          <w:bCs/>
          <w:i/>
          <w:iCs/>
          <w:sz w:val="24"/>
          <w:szCs w:val="24"/>
          <w:lang w:val="en-AU"/>
        </w:rPr>
        <w:t>Requirements for bodies providing audit and certification of management systems —</w:t>
      </w:r>
    </w:p>
    <w:p w14:paraId="46CFC4E4" w14:textId="634007E5" w:rsidR="00517C7F" w:rsidRDefault="00E72E19" w:rsidP="00E72E19">
      <w:pPr>
        <w:autoSpaceDE w:val="0"/>
        <w:autoSpaceDN w:val="0"/>
        <w:adjustRightInd w:val="0"/>
        <w:spacing w:after="0" w:line="240" w:lineRule="auto"/>
        <w:rPr>
          <w:rFonts w:ascii="Arial" w:eastAsia="Times New Roman" w:hAnsi="Arial" w:cs="Arial"/>
          <w:bCs/>
          <w:sz w:val="24"/>
          <w:szCs w:val="24"/>
          <w:lang w:val="en-AU"/>
        </w:rPr>
      </w:pPr>
      <w:r w:rsidRPr="00E72E19">
        <w:rPr>
          <w:rFonts w:ascii="Arial" w:eastAsia="Times New Roman" w:hAnsi="Arial" w:cs="Arial"/>
          <w:bCs/>
          <w:i/>
          <w:iCs/>
          <w:sz w:val="24"/>
          <w:szCs w:val="24"/>
          <w:lang w:val="en-AU"/>
        </w:rPr>
        <w:t>Part 1: Requirements</w:t>
      </w:r>
      <w:r>
        <w:rPr>
          <w:rFonts w:ascii="Arial" w:eastAsia="Times New Roman" w:hAnsi="Arial" w:cs="Arial"/>
          <w:bCs/>
          <w:i/>
          <w:iCs/>
          <w:sz w:val="24"/>
          <w:szCs w:val="24"/>
          <w:lang w:val="en-AU"/>
        </w:rPr>
        <w:t>,</w:t>
      </w:r>
      <w:r>
        <w:rPr>
          <w:rFonts w:ascii="Arial" w:eastAsia="Times New Roman" w:hAnsi="Arial" w:cs="Arial"/>
          <w:bCs/>
          <w:sz w:val="24"/>
          <w:szCs w:val="24"/>
          <w:lang w:val="en-AU"/>
        </w:rPr>
        <w:t xml:space="preserve"> </w:t>
      </w:r>
      <w:r w:rsidR="00F37548">
        <w:rPr>
          <w:rFonts w:ascii="Arial" w:eastAsia="Times New Roman" w:hAnsi="Arial" w:cs="Arial"/>
          <w:bCs/>
          <w:sz w:val="24"/>
          <w:szCs w:val="24"/>
          <w:lang w:val="en-AU"/>
        </w:rPr>
        <w:t>Clause 7.5.1 of “the Outsourcing Clause”, extracted below, includes a very useful statement that aligns with the above description.</w:t>
      </w:r>
    </w:p>
    <w:p w14:paraId="24EE22B2" w14:textId="5EB5D0EB" w:rsidR="00F37548" w:rsidRDefault="00F37548" w:rsidP="006F1E17">
      <w:pPr>
        <w:autoSpaceDE w:val="0"/>
        <w:autoSpaceDN w:val="0"/>
        <w:adjustRightInd w:val="0"/>
        <w:spacing w:after="0" w:line="240" w:lineRule="auto"/>
        <w:jc w:val="both"/>
        <w:rPr>
          <w:rFonts w:ascii="Arial" w:eastAsia="Times New Roman" w:hAnsi="Arial" w:cs="Arial"/>
          <w:bCs/>
          <w:sz w:val="24"/>
          <w:szCs w:val="24"/>
          <w:lang w:val="en-AU"/>
        </w:rPr>
      </w:pPr>
    </w:p>
    <w:p w14:paraId="5FF72E95" w14:textId="7D92E139" w:rsidR="00E72E19" w:rsidRPr="008B3447" w:rsidRDefault="00E72E19" w:rsidP="00F37548">
      <w:pPr>
        <w:autoSpaceDE w:val="0"/>
        <w:autoSpaceDN w:val="0"/>
        <w:adjustRightInd w:val="0"/>
        <w:spacing w:after="0" w:line="240" w:lineRule="auto"/>
        <w:rPr>
          <w:rFonts w:ascii="Arial,Bold" w:hAnsi="Arial,Bold"/>
          <w:b/>
          <w:bCs/>
          <w:color w:val="0070C0"/>
          <w:lang w:val="en-AU" w:eastAsia="en-AU"/>
        </w:rPr>
      </w:pPr>
      <w:r w:rsidRPr="008B3447">
        <w:rPr>
          <w:rFonts w:ascii="Arial,Bold" w:hAnsi="Arial,Bold"/>
          <w:b/>
          <w:bCs/>
          <w:color w:val="0070C0"/>
          <w:lang w:val="en-AU" w:eastAsia="en-AU"/>
        </w:rPr>
        <w:t>7.5</w:t>
      </w:r>
      <w:r w:rsidRPr="008B3447">
        <w:rPr>
          <w:rFonts w:ascii="Arial,Bold" w:hAnsi="Arial,Bold"/>
          <w:b/>
          <w:bCs/>
          <w:color w:val="0070C0"/>
          <w:lang w:val="en-AU" w:eastAsia="en-AU"/>
        </w:rPr>
        <w:tab/>
        <w:t>Outsourcing {Extract from ISO/IEC 17021-1 Ed 1.0}</w:t>
      </w:r>
    </w:p>
    <w:p w14:paraId="001CA170" w14:textId="2A03699B" w:rsidR="00F37548" w:rsidRPr="008B3447" w:rsidRDefault="00F37548" w:rsidP="00E72E19">
      <w:pPr>
        <w:pBdr>
          <w:top w:val="single" w:sz="4" w:space="1" w:color="auto"/>
          <w:left w:val="single" w:sz="4" w:space="4" w:color="auto"/>
          <w:bottom w:val="single" w:sz="4" w:space="1" w:color="auto"/>
          <w:right w:val="single" w:sz="4" w:space="4" w:color="auto"/>
        </w:pBdr>
        <w:autoSpaceDE w:val="0"/>
        <w:autoSpaceDN w:val="0"/>
        <w:rPr>
          <w:rFonts w:ascii="Arial,Bold" w:hAnsi="Arial,Bold"/>
          <w:b/>
          <w:bCs/>
          <w:color w:val="0070C0"/>
          <w:sz w:val="20"/>
          <w:szCs w:val="20"/>
          <w:lang w:val="en-AU" w:eastAsia="en-AU"/>
        </w:rPr>
      </w:pPr>
      <w:r w:rsidRPr="008B3447">
        <w:rPr>
          <w:rFonts w:ascii="Arial,Bold" w:hAnsi="Arial,Bold"/>
          <w:b/>
          <w:bCs/>
          <w:color w:val="0070C0"/>
          <w:sz w:val="20"/>
          <w:szCs w:val="20"/>
          <w:lang w:val="en-AU" w:eastAsia="en-AU"/>
        </w:rPr>
        <w:t>7.5.1 The certification body shall have a process in which it describes the conditions under which outsourcing (</w:t>
      </w:r>
      <w:r w:rsidRPr="008B3447">
        <w:rPr>
          <w:rFonts w:ascii="Arial,Bold" w:hAnsi="Arial,Bold"/>
          <w:b/>
          <w:bCs/>
          <w:color w:val="0070C0"/>
          <w:sz w:val="20"/>
          <w:szCs w:val="20"/>
          <w:u w:val="single"/>
          <w:lang w:val="en-AU" w:eastAsia="en-AU"/>
        </w:rPr>
        <w:t>which is subcontracting to another organization to provide part of the certification activities on behalf of the certification body</w:t>
      </w:r>
      <w:r w:rsidRPr="008B3447">
        <w:rPr>
          <w:rFonts w:ascii="Arial,Bold" w:hAnsi="Arial,Bold"/>
          <w:b/>
          <w:bCs/>
          <w:color w:val="0070C0"/>
          <w:sz w:val="20"/>
          <w:szCs w:val="20"/>
          <w:lang w:val="en-AU" w:eastAsia="en-AU"/>
        </w:rPr>
        <w:t>) may take place</w:t>
      </w:r>
    </w:p>
    <w:p w14:paraId="2C3AE5BB" w14:textId="6A8BF1C0" w:rsidR="00517C7F" w:rsidRDefault="00517C7F" w:rsidP="006F1E17">
      <w:pPr>
        <w:autoSpaceDE w:val="0"/>
        <w:autoSpaceDN w:val="0"/>
        <w:adjustRightInd w:val="0"/>
        <w:spacing w:after="0" w:line="240" w:lineRule="auto"/>
        <w:jc w:val="both"/>
        <w:rPr>
          <w:rFonts w:ascii="Arial" w:eastAsia="Times New Roman" w:hAnsi="Arial" w:cs="Arial"/>
          <w:bCs/>
          <w:sz w:val="24"/>
          <w:szCs w:val="24"/>
          <w:lang w:val="en-AU"/>
        </w:rPr>
      </w:pPr>
    </w:p>
    <w:p w14:paraId="6792DC1C" w14:textId="3369EDFE" w:rsidR="00E72E19" w:rsidRDefault="00E72E19"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While the scope of ISO/IEC 17021-1 applies to Certification Bodies, this principle associated with outsourcing of tasks applies equally to Testing Laboratories, which we will see later in this document. </w:t>
      </w:r>
    </w:p>
    <w:p w14:paraId="5E4DB3E5" w14:textId="77777777" w:rsidR="00E72E19" w:rsidRDefault="00E72E19" w:rsidP="006F1E17">
      <w:pPr>
        <w:autoSpaceDE w:val="0"/>
        <w:autoSpaceDN w:val="0"/>
        <w:adjustRightInd w:val="0"/>
        <w:spacing w:after="0" w:line="240" w:lineRule="auto"/>
        <w:jc w:val="both"/>
        <w:rPr>
          <w:rFonts w:ascii="Arial" w:eastAsia="Times New Roman" w:hAnsi="Arial" w:cs="Arial"/>
          <w:bCs/>
          <w:sz w:val="24"/>
          <w:szCs w:val="24"/>
          <w:lang w:val="en-AU"/>
        </w:rPr>
      </w:pPr>
    </w:p>
    <w:p w14:paraId="76A4E357" w14:textId="45BD951F" w:rsidR="008A5D7A" w:rsidRDefault="008A5D7A"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Regardless</w:t>
      </w:r>
      <w:r w:rsidR="00D81610">
        <w:rPr>
          <w:rFonts w:ascii="Arial" w:eastAsia="Times New Roman" w:hAnsi="Arial" w:cs="Arial"/>
          <w:bCs/>
          <w:sz w:val="24"/>
          <w:szCs w:val="24"/>
          <w:lang w:val="en-AU"/>
        </w:rPr>
        <w:t xml:space="preserve"> of</w:t>
      </w:r>
      <w:r>
        <w:rPr>
          <w:rFonts w:ascii="Arial" w:eastAsia="Times New Roman" w:hAnsi="Arial" w:cs="Arial"/>
          <w:bCs/>
          <w:sz w:val="24"/>
          <w:szCs w:val="24"/>
          <w:lang w:val="en-AU"/>
        </w:rPr>
        <w:t xml:space="preserve"> whether subcontracting or contracting is being used by </w:t>
      </w:r>
      <w:r w:rsidR="00D81610">
        <w:rPr>
          <w:rFonts w:ascii="Arial" w:eastAsia="Times New Roman" w:hAnsi="Arial" w:cs="Arial"/>
          <w:bCs/>
          <w:sz w:val="24"/>
          <w:szCs w:val="24"/>
          <w:lang w:val="en-AU"/>
        </w:rPr>
        <w:t xml:space="preserve">an </w:t>
      </w:r>
      <w:r>
        <w:rPr>
          <w:rFonts w:ascii="Arial" w:eastAsia="Times New Roman" w:hAnsi="Arial" w:cs="Arial"/>
          <w:bCs/>
          <w:sz w:val="24"/>
          <w:szCs w:val="24"/>
          <w:lang w:val="en-AU"/>
        </w:rPr>
        <w:t>ExTL or ExCB, IECEx expects that ExTL</w:t>
      </w:r>
      <w:r w:rsidR="00D81610">
        <w:rPr>
          <w:rFonts w:ascii="Arial" w:eastAsia="Times New Roman" w:hAnsi="Arial" w:cs="Arial"/>
          <w:bCs/>
          <w:sz w:val="24"/>
          <w:szCs w:val="24"/>
          <w:lang w:val="en-AU"/>
        </w:rPr>
        <w:t>s</w:t>
      </w:r>
      <w:r>
        <w:rPr>
          <w:rFonts w:ascii="Arial" w:eastAsia="Times New Roman" w:hAnsi="Arial" w:cs="Arial"/>
          <w:bCs/>
          <w:sz w:val="24"/>
          <w:szCs w:val="24"/>
          <w:lang w:val="en-AU"/>
        </w:rPr>
        <w:t xml:space="preserve"> or ExCB</w:t>
      </w:r>
      <w:r w:rsidR="00D81610">
        <w:rPr>
          <w:rFonts w:ascii="Arial" w:eastAsia="Times New Roman" w:hAnsi="Arial" w:cs="Arial"/>
          <w:bCs/>
          <w:sz w:val="24"/>
          <w:szCs w:val="24"/>
          <w:lang w:val="en-AU"/>
        </w:rPr>
        <w:t>s</w:t>
      </w:r>
      <w:r w:rsidR="000B759C">
        <w:rPr>
          <w:rFonts w:ascii="Arial" w:eastAsia="Times New Roman" w:hAnsi="Arial" w:cs="Arial"/>
          <w:bCs/>
          <w:sz w:val="24"/>
          <w:szCs w:val="24"/>
          <w:lang w:val="en-AU"/>
        </w:rPr>
        <w:t xml:space="preserve"> have a responsibility towards</w:t>
      </w:r>
      <w:r>
        <w:rPr>
          <w:rFonts w:ascii="Arial" w:eastAsia="Times New Roman" w:hAnsi="Arial" w:cs="Arial"/>
          <w:bCs/>
          <w:sz w:val="24"/>
          <w:szCs w:val="24"/>
          <w:lang w:val="en-AU"/>
        </w:rPr>
        <w:t>:</w:t>
      </w:r>
    </w:p>
    <w:p w14:paraId="2215A8B1" w14:textId="33F54407" w:rsidR="008A5D7A" w:rsidRDefault="008A5D7A" w:rsidP="006F1E17">
      <w:pPr>
        <w:autoSpaceDE w:val="0"/>
        <w:autoSpaceDN w:val="0"/>
        <w:adjustRightInd w:val="0"/>
        <w:spacing w:after="0" w:line="240" w:lineRule="auto"/>
        <w:jc w:val="both"/>
        <w:rPr>
          <w:rFonts w:ascii="Arial" w:eastAsia="Times New Roman" w:hAnsi="Arial" w:cs="Arial"/>
          <w:bCs/>
          <w:sz w:val="24"/>
          <w:szCs w:val="24"/>
          <w:lang w:val="en-AU"/>
        </w:rPr>
      </w:pPr>
    </w:p>
    <w:p w14:paraId="633F7D15" w14:textId="5DC7B2CA" w:rsidR="008A5D7A" w:rsidRDefault="000B759C" w:rsidP="008A5D7A">
      <w:pPr>
        <w:pStyle w:val="ListParagraph"/>
        <w:numPr>
          <w:ilvl w:val="0"/>
          <w:numId w:val="3"/>
        </w:num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The </w:t>
      </w:r>
      <w:r w:rsidR="008A5D7A">
        <w:rPr>
          <w:rFonts w:ascii="Arial" w:eastAsia="Times New Roman" w:hAnsi="Arial" w:cs="Arial"/>
          <w:bCs/>
          <w:sz w:val="24"/>
          <w:szCs w:val="24"/>
          <w:lang w:val="en-AU"/>
        </w:rPr>
        <w:t>Tasks/work performed; and</w:t>
      </w:r>
    </w:p>
    <w:p w14:paraId="37638071" w14:textId="50C6C142" w:rsidR="008A5D7A" w:rsidRPr="008A5D7A" w:rsidRDefault="008A5D7A" w:rsidP="008A5D7A">
      <w:pPr>
        <w:pStyle w:val="ListParagraph"/>
        <w:numPr>
          <w:ilvl w:val="0"/>
          <w:numId w:val="3"/>
        </w:num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Evaluat</w:t>
      </w:r>
      <w:r w:rsidR="000B759C">
        <w:rPr>
          <w:rFonts w:ascii="Arial" w:eastAsia="Times New Roman" w:hAnsi="Arial" w:cs="Arial"/>
          <w:bCs/>
          <w:sz w:val="24"/>
          <w:szCs w:val="24"/>
          <w:lang w:val="en-AU"/>
        </w:rPr>
        <w:t>ion of</w:t>
      </w:r>
      <w:r>
        <w:rPr>
          <w:rFonts w:ascii="Arial" w:eastAsia="Times New Roman" w:hAnsi="Arial" w:cs="Arial"/>
          <w:bCs/>
          <w:sz w:val="24"/>
          <w:szCs w:val="24"/>
          <w:lang w:val="en-AU"/>
        </w:rPr>
        <w:t xml:space="preserve"> the subcontractor or contractor and monitor</w:t>
      </w:r>
      <w:r w:rsidR="000B759C">
        <w:rPr>
          <w:rFonts w:ascii="Arial" w:eastAsia="Times New Roman" w:hAnsi="Arial" w:cs="Arial"/>
          <w:bCs/>
          <w:sz w:val="24"/>
          <w:szCs w:val="24"/>
          <w:lang w:val="en-AU"/>
        </w:rPr>
        <w:t xml:space="preserve">ing of </w:t>
      </w:r>
      <w:r>
        <w:rPr>
          <w:rFonts w:ascii="Arial" w:eastAsia="Times New Roman" w:hAnsi="Arial" w:cs="Arial"/>
          <w:bCs/>
          <w:sz w:val="24"/>
          <w:szCs w:val="24"/>
          <w:lang w:val="en-AU"/>
        </w:rPr>
        <w:t>their performance</w:t>
      </w:r>
    </w:p>
    <w:p w14:paraId="3642A87D" w14:textId="42BEB624" w:rsidR="008A5D7A" w:rsidRDefault="00266384"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lastRenderedPageBreak/>
        <w:t xml:space="preserve">While in both subcontracting and contracting situations, the ExTL and ExCB takes responsibility for the task/work done by both, control over task/work performed by contracted persons is much simpler as it is the ExTL or ExCB’s own procedures </w:t>
      </w:r>
      <w:r w:rsidR="008A5D7A">
        <w:rPr>
          <w:rFonts w:ascii="Arial" w:eastAsia="Times New Roman" w:hAnsi="Arial" w:cs="Arial"/>
          <w:bCs/>
          <w:sz w:val="24"/>
          <w:szCs w:val="24"/>
          <w:lang w:val="en-AU"/>
        </w:rPr>
        <w:t xml:space="preserve">and systems that are used hence the level of monitoring and control </w:t>
      </w:r>
      <w:r w:rsidR="00D81610">
        <w:rPr>
          <w:rFonts w:ascii="Arial" w:eastAsia="Times New Roman" w:hAnsi="Arial" w:cs="Arial"/>
          <w:bCs/>
          <w:sz w:val="24"/>
          <w:szCs w:val="24"/>
          <w:lang w:val="en-AU"/>
        </w:rPr>
        <w:t xml:space="preserve">may be </w:t>
      </w:r>
      <w:r w:rsidR="008A5D7A">
        <w:rPr>
          <w:rFonts w:ascii="Arial" w:eastAsia="Times New Roman" w:hAnsi="Arial" w:cs="Arial"/>
          <w:bCs/>
          <w:sz w:val="24"/>
          <w:szCs w:val="24"/>
          <w:lang w:val="en-AU"/>
        </w:rPr>
        <w:t>more straightforward.</w:t>
      </w:r>
    </w:p>
    <w:p w14:paraId="49DE2208" w14:textId="77777777" w:rsidR="008A5D7A" w:rsidRDefault="008A5D7A" w:rsidP="006F1E17">
      <w:pPr>
        <w:autoSpaceDE w:val="0"/>
        <w:autoSpaceDN w:val="0"/>
        <w:adjustRightInd w:val="0"/>
        <w:spacing w:after="0" w:line="240" w:lineRule="auto"/>
        <w:jc w:val="both"/>
        <w:rPr>
          <w:rFonts w:ascii="Arial" w:eastAsia="Times New Roman" w:hAnsi="Arial" w:cs="Arial"/>
          <w:bCs/>
          <w:sz w:val="24"/>
          <w:szCs w:val="24"/>
          <w:lang w:val="en-AU"/>
        </w:rPr>
      </w:pPr>
    </w:p>
    <w:p w14:paraId="2BD18A55" w14:textId="198DA059" w:rsidR="00BB705D" w:rsidRDefault="008A5D7A"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When using another organisation </w:t>
      </w:r>
      <w:r w:rsidR="00D81610">
        <w:rPr>
          <w:rFonts w:ascii="Arial" w:eastAsia="Times New Roman" w:hAnsi="Arial" w:cs="Arial"/>
          <w:bCs/>
          <w:sz w:val="24"/>
          <w:szCs w:val="24"/>
          <w:lang w:val="en-AU"/>
        </w:rPr>
        <w:t xml:space="preserve">to perform tasks, such as tests, </w:t>
      </w:r>
      <w:r>
        <w:rPr>
          <w:rFonts w:ascii="Arial" w:eastAsia="Times New Roman" w:hAnsi="Arial" w:cs="Arial"/>
          <w:bCs/>
          <w:sz w:val="24"/>
          <w:szCs w:val="24"/>
          <w:lang w:val="en-AU"/>
        </w:rPr>
        <w:t xml:space="preserve">under a subcontracting arrangement </w:t>
      </w:r>
      <w:r w:rsidR="000B759C">
        <w:rPr>
          <w:rFonts w:ascii="Arial" w:eastAsia="Times New Roman" w:hAnsi="Arial" w:cs="Arial"/>
          <w:bCs/>
          <w:sz w:val="24"/>
          <w:szCs w:val="24"/>
          <w:lang w:val="en-AU"/>
        </w:rPr>
        <w:t xml:space="preserve">the ExTL or ExCB </w:t>
      </w:r>
      <w:r w:rsidR="00517C7F">
        <w:rPr>
          <w:rFonts w:ascii="Arial" w:eastAsia="Times New Roman" w:hAnsi="Arial" w:cs="Arial"/>
          <w:bCs/>
          <w:sz w:val="24"/>
          <w:szCs w:val="24"/>
          <w:lang w:val="en-AU"/>
        </w:rPr>
        <w:t xml:space="preserve">may need to rely on </w:t>
      </w:r>
      <w:r w:rsidR="00D81610">
        <w:rPr>
          <w:rFonts w:ascii="Arial" w:eastAsia="Times New Roman" w:hAnsi="Arial" w:cs="Arial"/>
          <w:bCs/>
          <w:sz w:val="24"/>
          <w:szCs w:val="24"/>
          <w:lang w:val="en-AU"/>
        </w:rPr>
        <w:t xml:space="preserve">a number of </w:t>
      </w:r>
      <w:r w:rsidR="00517C7F">
        <w:rPr>
          <w:rFonts w:ascii="Arial" w:eastAsia="Times New Roman" w:hAnsi="Arial" w:cs="Arial"/>
          <w:bCs/>
          <w:sz w:val="24"/>
          <w:szCs w:val="24"/>
          <w:lang w:val="en-AU"/>
        </w:rPr>
        <w:t>means to evaluate the competence and overall quality of the Organisation to whom they are subcontracting to.  Other means include</w:t>
      </w:r>
      <w:r w:rsidR="00D81610">
        <w:rPr>
          <w:rFonts w:ascii="Arial" w:eastAsia="Times New Roman" w:hAnsi="Arial" w:cs="Arial"/>
          <w:bCs/>
          <w:sz w:val="24"/>
          <w:szCs w:val="24"/>
          <w:lang w:val="en-AU"/>
        </w:rPr>
        <w:t>s</w:t>
      </w:r>
      <w:r w:rsidR="00517C7F">
        <w:rPr>
          <w:rFonts w:ascii="Arial" w:eastAsia="Times New Roman" w:hAnsi="Arial" w:cs="Arial"/>
          <w:bCs/>
          <w:sz w:val="24"/>
          <w:szCs w:val="24"/>
          <w:lang w:val="en-AU"/>
        </w:rPr>
        <w:t xml:space="preserve"> use of </w:t>
      </w:r>
      <w:r w:rsidR="00273566">
        <w:rPr>
          <w:rFonts w:ascii="Arial" w:eastAsia="Times New Roman" w:hAnsi="Arial" w:cs="Arial"/>
          <w:bCs/>
          <w:sz w:val="24"/>
          <w:szCs w:val="24"/>
          <w:lang w:val="en-AU"/>
        </w:rPr>
        <w:t xml:space="preserve">ISO/IEC 17025 </w:t>
      </w:r>
      <w:r w:rsidR="00517C7F">
        <w:rPr>
          <w:rFonts w:ascii="Arial" w:eastAsia="Times New Roman" w:hAnsi="Arial" w:cs="Arial"/>
          <w:bCs/>
          <w:sz w:val="24"/>
          <w:szCs w:val="24"/>
          <w:lang w:val="en-AU"/>
        </w:rPr>
        <w:t>accreditation according to structured approach such as that under the ILAC (International Laboratory Accreditation Cooperation) and IAF (International Accreditation Forum)</w:t>
      </w:r>
      <w:r w:rsidR="00BB705D">
        <w:rPr>
          <w:rFonts w:ascii="Arial" w:eastAsia="Times New Roman" w:hAnsi="Arial" w:cs="Arial"/>
          <w:bCs/>
          <w:sz w:val="24"/>
          <w:szCs w:val="24"/>
          <w:lang w:val="en-AU"/>
        </w:rPr>
        <w:t>.</w:t>
      </w:r>
    </w:p>
    <w:p w14:paraId="2F99BE62" w14:textId="460F3E5B" w:rsidR="00BB705D" w:rsidRDefault="00BB705D" w:rsidP="00BB705D">
      <w:pPr>
        <w:autoSpaceDE w:val="0"/>
        <w:autoSpaceDN w:val="0"/>
        <w:adjustRightInd w:val="0"/>
        <w:spacing w:after="0" w:line="240" w:lineRule="auto"/>
        <w:jc w:val="both"/>
        <w:rPr>
          <w:rFonts w:ascii="Arial" w:eastAsia="Times New Roman" w:hAnsi="Arial" w:cs="Arial"/>
          <w:bCs/>
          <w:sz w:val="24"/>
          <w:szCs w:val="24"/>
          <w:lang w:val="en-AU"/>
        </w:rPr>
      </w:pPr>
    </w:p>
    <w:p w14:paraId="51D8073E" w14:textId="77777777" w:rsidR="00D81610" w:rsidRDefault="00D81610" w:rsidP="00BB705D">
      <w:pPr>
        <w:autoSpaceDE w:val="0"/>
        <w:autoSpaceDN w:val="0"/>
        <w:adjustRightInd w:val="0"/>
        <w:spacing w:after="0" w:line="240" w:lineRule="auto"/>
        <w:jc w:val="both"/>
        <w:rPr>
          <w:rFonts w:ascii="Arial" w:eastAsia="Times New Roman" w:hAnsi="Arial" w:cs="Arial"/>
          <w:bCs/>
          <w:sz w:val="24"/>
          <w:szCs w:val="24"/>
          <w:lang w:val="en-AU"/>
        </w:rPr>
      </w:pPr>
    </w:p>
    <w:p w14:paraId="6819D5BA" w14:textId="446F02B9" w:rsidR="00823010" w:rsidRPr="00823010" w:rsidRDefault="00823010" w:rsidP="00823010">
      <w:pPr>
        <w:pStyle w:val="ListParagraph"/>
        <w:numPr>
          <w:ilvl w:val="0"/>
          <w:numId w:val="2"/>
        </w:numPr>
        <w:rPr>
          <w:rFonts w:ascii="Arial" w:eastAsia="Times New Roman" w:hAnsi="Arial" w:cs="Arial"/>
          <w:b/>
          <w:sz w:val="24"/>
          <w:szCs w:val="24"/>
          <w:lang w:val="en-AU"/>
        </w:rPr>
      </w:pPr>
      <w:r w:rsidRPr="00823010">
        <w:rPr>
          <w:rFonts w:ascii="Arial" w:eastAsia="Times New Roman" w:hAnsi="Arial" w:cs="Arial"/>
          <w:b/>
          <w:sz w:val="24"/>
          <w:szCs w:val="24"/>
          <w:lang w:val="en-AU"/>
        </w:rPr>
        <w:t>ISO/IEC 170</w:t>
      </w:r>
      <w:r>
        <w:rPr>
          <w:rFonts w:ascii="Arial" w:eastAsia="Times New Roman" w:hAnsi="Arial" w:cs="Arial"/>
          <w:b/>
          <w:sz w:val="24"/>
          <w:szCs w:val="24"/>
          <w:lang w:val="en-AU"/>
        </w:rPr>
        <w:t>6</w:t>
      </w:r>
      <w:r w:rsidRPr="00823010">
        <w:rPr>
          <w:rFonts w:ascii="Arial" w:eastAsia="Times New Roman" w:hAnsi="Arial" w:cs="Arial"/>
          <w:b/>
          <w:sz w:val="24"/>
          <w:szCs w:val="24"/>
          <w:lang w:val="en-AU"/>
        </w:rPr>
        <w:t xml:space="preserve">5 Requirements </w:t>
      </w:r>
      <w:r w:rsidR="00DC1E0D">
        <w:rPr>
          <w:rFonts w:ascii="Arial" w:eastAsia="Times New Roman" w:hAnsi="Arial" w:cs="Arial"/>
          <w:b/>
          <w:sz w:val="24"/>
          <w:szCs w:val="24"/>
          <w:lang w:val="en-AU"/>
        </w:rPr>
        <w:t xml:space="preserve">of ExCBs </w:t>
      </w:r>
      <w:r w:rsidRPr="00823010">
        <w:rPr>
          <w:rFonts w:ascii="Arial" w:eastAsia="Times New Roman" w:hAnsi="Arial" w:cs="Arial"/>
          <w:b/>
          <w:sz w:val="24"/>
          <w:szCs w:val="24"/>
          <w:lang w:val="en-AU"/>
        </w:rPr>
        <w:t xml:space="preserve">concerning Subcontracting </w:t>
      </w:r>
      <w:r w:rsidR="00DC1E0D">
        <w:rPr>
          <w:rFonts w:ascii="Arial" w:eastAsia="Times New Roman" w:hAnsi="Arial" w:cs="Arial"/>
          <w:b/>
          <w:sz w:val="24"/>
          <w:szCs w:val="24"/>
          <w:lang w:val="en-AU"/>
        </w:rPr>
        <w:t xml:space="preserve">(Outsourcing) </w:t>
      </w:r>
    </w:p>
    <w:p w14:paraId="712D1044" w14:textId="032CD81B" w:rsidR="00DC1E0D" w:rsidRDefault="00DC1E0D" w:rsidP="00DC1E0D">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Apart from specific requirements contained within IECEx rules of procedures and Operational Documents (ODs)</w:t>
      </w:r>
      <w:r w:rsidR="00273566">
        <w:rPr>
          <w:rFonts w:ascii="Arial" w:eastAsia="Times New Roman" w:hAnsi="Arial" w:cs="Arial"/>
          <w:bCs/>
          <w:sz w:val="24"/>
          <w:szCs w:val="24"/>
          <w:lang w:val="en-AU"/>
        </w:rPr>
        <w:t>,</w:t>
      </w:r>
      <w:r>
        <w:rPr>
          <w:rFonts w:ascii="Arial" w:eastAsia="Times New Roman" w:hAnsi="Arial" w:cs="Arial"/>
          <w:bCs/>
          <w:sz w:val="24"/>
          <w:szCs w:val="24"/>
          <w:lang w:val="en-AU"/>
        </w:rPr>
        <w:t xml:space="preserve"> the fundamental requirements of ISO/IEC 17065 </w:t>
      </w:r>
      <w:r w:rsidRPr="00DC1E0D">
        <w:rPr>
          <w:rFonts w:ascii="Arial" w:eastAsia="Times New Roman" w:hAnsi="Arial" w:cs="Arial"/>
          <w:bCs/>
          <w:i/>
          <w:iCs/>
          <w:sz w:val="24"/>
          <w:szCs w:val="24"/>
          <w:lang w:val="en-AU"/>
        </w:rPr>
        <w:t>Conformity assessment — Requirements for bodies certifying products, processes and services</w:t>
      </w:r>
      <w:r>
        <w:rPr>
          <w:rFonts w:ascii="Arial" w:eastAsia="Times New Roman" w:hAnsi="Arial" w:cs="Arial"/>
          <w:bCs/>
          <w:sz w:val="24"/>
          <w:szCs w:val="24"/>
          <w:lang w:val="en-AU"/>
        </w:rPr>
        <w:t xml:space="preserve"> apply, in particular those of Clause 6.2.2 “External resources (outsourcing)” and its subclauses 6.2.2.1 to 6.2.2.4.</w:t>
      </w:r>
    </w:p>
    <w:p w14:paraId="70D4654E" w14:textId="1F3F50AF" w:rsidR="00DC1E0D" w:rsidRDefault="00DC1E0D" w:rsidP="00DC1E0D">
      <w:pPr>
        <w:autoSpaceDE w:val="0"/>
        <w:autoSpaceDN w:val="0"/>
        <w:adjustRightInd w:val="0"/>
        <w:spacing w:after="0" w:line="240" w:lineRule="auto"/>
        <w:jc w:val="both"/>
        <w:rPr>
          <w:rFonts w:ascii="Arial" w:eastAsia="Times New Roman" w:hAnsi="Arial" w:cs="Arial"/>
          <w:bCs/>
          <w:sz w:val="24"/>
          <w:szCs w:val="24"/>
          <w:lang w:val="en-AU"/>
        </w:rPr>
      </w:pPr>
    </w:p>
    <w:p w14:paraId="4AF1A435" w14:textId="77777777" w:rsidR="00F83E6B" w:rsidRDefault="00F83E6B" w:rsidP="00F83E6B">
      <w:pPr>
        <w:pStyle w:val="Default"/>
        <w:rPr>
          <w:rFonts w:ascii="Arial" w:eastAsia="Times New Roman" w:hAnsi="Arial" w:cs="Arial"/>
          <w:bCs/>
        </w:rPr>
      </w:pPr>
      <w:r>
        <w:rPr>
          <w:rFonts w:ascii="Arial" w:eastAsia="Times New Roman" w:hAnsi="Arial" w:cs="Arial"/>
          <w:bCs/>
        </w:rPr>
        <w:t xml:space="preserve">A key requirement of Clause 6.2.2 and its subclauses is that contained under item a) of 6.2.2.4 requiring that the Certification Body to </w:t>
      </w:r>
    </w:p>
    <w:p w14:paraId="23797747" w14:textId="77777777" w:rsidR="00F83E6B" w:rsidRDefault="00F83E6B" w:rsidP="00F83E6B">
      <w:pPr>
        <w:pStyle w:val="Default"/>
        <w:rPr>
          <w:rFonts w:ascii="Arial" w:eastAsia="Times New Roman" w:hAnsi="Arial" w:cs="Arial"/>
          <w:bCs/>
        </w:rPr>
      </w:pPr>
    </w:p>
    <w:p w14:paraId="3FDD8045" w14:textId="065EB756" w:rsidR="00F83E6B" w:rsidRDefault="00F83E6B" w:rsidP="00F83E6B">
      <w:pPr>
        <w:pStyle w:val="Default"/>
        <w:numPr>
          <w:ilvl w:val="0"/>
          <w:numId w:val="7"/>
        </w:numPr>
        <w:rPr>
          <w:rFonts w:ascii="Arial" w:eastAsia="Times New Roman" w:hAnsi="Arial" w:cs="Arial"/>
          <w:bCs/>
        </w:rPr>
      </w:pPr>
      <w:r w:rsidRPr="00F83E6B">
        <w:rPr>
          <w:rFonts w:ascii="Arial" w:eastAsia="Times New Roman" w:hAnsi="Arial" w:cs="Arial"/>
          <w:bCs/>
          <w:i/>
          <w:iCs/>
        </w:rPr>
        <w:t>“take responsibility for all activities outsourced to another body”</w:t>
      </w:r>
      <w:r w:rsidRPr="00F83E6B">
        <w:rPr>
          <w:rFonts w:ascii="Arial" w:eastAsia="Times New Roman" w:hAnsi="Arial" w:cs="Arial"/>
          <w:bCs/>
        </w:rPr>
        <w:t xml:space="preserve"> </w:t>
      </w:r>
    </w:p>
    <w:p w14:paraId="7AAC05E0" w14:textId="77777777" w:rsidR="00F83E6B" w:rsidRDefault="00F83E6B" w:rsidP="00F83E6B">
      <w:pPr>
        <w:pStyle w:val="Default"/>
        <w:ind w:left="720"/>
        <w:rPr>
          <w:rFonts w:ascii="Arial" w:eastAsia="Times New Roman" w:hAnsi="Arial" w:cs="Arial"/>
          <w:bCs/>
        </w:rPr>
      </w:pPr>
    </w:p>
    <w:p w14:paraId="4F186C3A" w14:textId="346A65F3" w:rsidR="00F83E6B" w:rsidRDefault="00F83E6B" w:rsidP="00F83E6B">
      <w:pPr>
        <w:pStyle w:val="Default"/>
        <w:numPr>
          <w:ilvl w:val="0"/>
          <w:numId w:val="7"/>
        </w:numPr>
        <w:rPr>
          <w:rFonts w:ascii="Arial" w:eastAsia="Times New Roman" w:hAnsi="Arial" w:cs="Arial"/>
          <w:bCs/>
          <w:i/>
          <w:iCs/>
        </w:rPr>
      </w:pPr>
      <w:r w:rsidRPr="00F83E6B">
        <w:rPr>
          <w:rFonts w:ascii="Arial" w:eastAsia="Times New Roman" w:hAnsi="Arial" w:cs="Arial"/>
          <w:bCs/>
          <w:i/>
          <w:iCs/>
        </w:rPr>
        <w:t xml:space="preserve">have documented policies, procedures and records for the qualification, assessing and monitoring of all bodies that provide outsourced services used for certification activities </w:t>
      </w:r>
    </w:p>
    <w:p w14:paraId="70D5F39D" w14:textId="77777777" w:rsidR="00F83E6B" w:rsidRPr="00F83E6B" w:rsidRDefault="00F83E6B" w:rsidP="00F83E6B">
      <w:pPr>
        <w:pStyle w:val="Default"/>
        <w:rPr>
          <w:rFonts w:ascii="Arial" w:eastAsia="Times New Roman" w:hAnsi="Arial" w:cs="Arial"/>
          <w:bCs/>
          <w:i/>
          <w:iCs/>
        </w:rPr>
      </w:pPr>
    </w:p>
    <w:p w14:paraId="09FBF016" w14:textId="44F3A1C5" w:rsidR="00F83E6B" w:rsidRPr="00F83E6B" w:rsidRDefault="00F83E6B" w:rsidP="00F83E6B">
      <w:pPr>
        <w:pStyle w:val="Default"/>
        <w:numPr>
          <w:ilvl w:val="0"/>
          <w:numId w:val="7"/>
        </w:numPr>
        <w:rPr>
          <w:rFonts w:ascii="Arial" w:eastAsia="Times New Roman" w:hAnsi="Arial" w:cs="Arial"/>
          <w:bCs/>
        </w:rPr>
      </w:pPr>
      <w:r>
        <w:rPr>
          <w:rFonts w:ascii="Arial" w:eastAsia="Times New Roman" w:hAnsi="Arial" w:cs="Arial"/>
          <w:bCs/>
        </w:rPr>
        <w:t>Others (refer to the text of ISO/IEC 17065)</w:t>
      </w:r>
    </w:p>
    <w:p w14:paraId="3613F8D4" w14:textId="373DB941" w:rsidR="00DC1E0D" w:rsidRPr="00D522F1" w:rsidRDefault="00DC1E0D" w:rsidP="00DC1E0D">
      <w:pPr>
        <w:autoSpaceDE w:val="0"/>
        <w:autoSpaceDN w:val="0"/>
        <w:adjustRightInd w:val="0"/>
        <w:spacing w:after="0" w:line="240" w:lineRule="auto"/>
        <w:jc w:val="both"/>
        <w:rPr>
          <w:rFonts w:ascii="Arial" w:eastAsia="Times New Roman" w:hAnsi="Arial" w:cs="Arial"/>
          <w:bCs/>
          <w:sz w:val="24"/>
          <w:szCs w:val="24"/>
          <w:lang w:val="en-AU"/>
        </w:rPr>
      </w:pPr>
    </w:p>
    <w:p w14:paraId="192C3669" w14:textId="26A1B8E1" w:rsidR="00D522F1" w:rsidRDefault="00D522F1" w:rsidP="00DC1E0D">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We are also reminded of the requirements of IECEx 02 regarding the need for the IECEx Management Committee, ExMC to approve the cooperation between ExCBs and ExTLs where they are not part of the same organisation, noting in particular the following </w:t>
      </w:r>
      <w:r w:rsidR="00880AE0">
        <w:rPr>
          <w:rFonts w:ascii="Arial" w:eastAsia="Times New Roman" w:hAnsi="Arial" w:cs="Arial"/>
          <w:bCs/>
          <w:sz w:val="24"/>
          <w:szCs w:val="24"/>
          <w:lang w:val="en-AU"/>
        </w:rPr>
        <w:t>extracted bullets from Clause 11.1.1 of IECEx 02:</w:t>
      </w:r>
    </w:p>
    <w:p w14:paraId="474E6837" w14:textId="77777777" w:rsidR="00D522F1" w:rsidRPr="00D522F1" w:rsidRDefault="00D522F1" w:rsidP="00D522F1">
      <w:pPr>
        <w:autoSpaceDE w:val="0"/>
        <w:autoSpaceDN w:val="0"/>
        <w:adjustRightInd w:val="0"/>
        <w:spacing w:after="0" w:line="240" w:lineRule="auto"/>
        <w:rPr>
          <w:rFonts w:ascii="Arial" w:hAnsi="Arial" w:cs="Arial"/>
          <w:color w:val="000000"/>
          <w:sz w:val="24"/>
          <w:szCs w:val="24"/>
          <w:lang w:val="en-AU"/>
        </w:rPr>
      </w:pPr>
    </w:p>
    <w:p w14:paraId="4E00E855" w14:textId="342E6A6B" w:rsidR="00880AE0" w:rsidRPr="008B3447" w:rsidRDefault="00D522F1" w:rsidP="004E2C1D">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240" w:after="142" w:line="240" w:lineRule="auto"/>
        <w:rPr>
          <w:rFonts w:ascii="Arial" w:hAnsi="Arial" w:cs="Arial"/>
          <w:color w:val="0070C0"/>
          <w:sz w:val="20"/>
          <w:szCs w:val="20"/>
          <w:lang w:val="en-AU" w:eastAsia="en-AU"/>
        </w:rPr>
      </w:pPr>
      <w:r w:rsidRPr="008B3447">
        <w:rPr>
          <w:rFonts w:ascii="Arial" w:hAnsi="Arial" w:cs="Arial"/>
          <w:color w:val="0070C0"/>
          <w:sz w:val="20"/>
          <w:szCs w:val="20"/>
          <w:lang w:val="en-AU" w:eastAsia="en-AU"/>
        </w:rPr>
        <w:t>The certification body shall have within its organization, or have an agreement to employ, an ExTL accepted by the ExMC according to these Rules for the relevant types of protection</w:t>
      </w:r>
    </w:p>
    <w:p w14:paraId="7B21671C" w14:textId="77777777" w:rsidR="004E2C1D" w:rsidRPr="009C32BA" w:rsidRDefault="004E2C1D" w:rsidP="004E2C1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ind w:left="360"/>
        <w:rPr>
          <w:rFonts w:ascii="Arial" w:hAnsi="Arial" w:cs="Arial"/>
          <w:color w:val="000000"/>
          <w:sz w:val="20"/>
          <w:szCs w:val="20"/>
          <w:lang w:val="en-AU"/>
        </w:rPr>
      </w:pPr>
    </w:p>
    <w:p w14:paraId="0994989B" w14:textId="49788701" w:rsidR="00D522F1" w:rsidRPr="009C32BA" w:rsidRDefault="00D522F1" w:rsidP="004E2C1D">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rPr>
          <w:rFonts w:ascii="Arial" w:hAnsi="Arial" w:cs="Arial"/>
          <w:color w:val="000000"/>
          <w:sz w:val="20"/>
          <w:szCs w:val="20"/>
          <w:lang w:val="en-AU"/>
        </w:rPr>
      </w:pPr>
      <w:r w:rsidRPr="008B3447">
        <w:rPr>
          <w:rFonts w:ascii="Arial" w:hAnsi="Arial" w:cs="Arial"/>
          <w:color w:val="0070C0"/>
          <w:sz w:val="20"/>
          <w:szCs w:val="20"/>
          <w:lang w:val="en-AU" w:eastAsia="en-AU"/>
        </w:rPr>
        <w:t xml:space="preserve">Where the certification body wishes to cooperate with more than one ExTL, the certification body shall have a separate agreement with each ExTL and </w:t>
      </w:r>
      <w:r w:rsidRPr="008B3447">
        <w:rPr>
          <w:rFonts w:ascii="Arial" w:hAnsi="Arial" w:cs="Arial"/>
          <w:color w:val="0070C0"/>
          <w:sz w:val="20"/>
          <w:szCs w:val="20"/>
          <w:u w:val="single"/>
          <w:lang w:val="en-AU" w:eastAsia="en-AU"/>
        </w:rPr>
        <w:t>such cooperation shall be agreed by ExMC either at a meeting or voting via correspondence</w:t>
      </w:r>
      <w:r w:rsidRPr="009C32BA">
        <w:rPr>
          <w:rFonts w:ascii="Arial" w:hAnsi="Arial" w:cs="Arial"/>
          <w:color w:val="000000"/>
          <w:sz w:val="20"/>
          <w:szCs w:val="20"/>
          <w:lang w:val="en-AU"/>
        </w:rPr>
        <w:t xml:space="preserve">. </w:t>
      </w:r>
    </w:p>
    <w:p w14:paraId="3F5A2FBD" w14:textId="77777777" w:rsidR="004E2C1D" w:rsidRPr="004E2C1D" w:rsidRDefault="004E2C1D" w:rsidP="004E2C1D">
      <w:pPr>
        <w:pStyle w:val="ListParagraph"/>
        <w:rPr>
          <w:rFonts w:ascii="Arial" w:hAnsi="Arial" w:cs="Arial"/>
          <w:color w:val="000000"/>
          <w:sz w:val="20"/>
          <w:szCs w:val="20"/>
          <w:lang w:val="en-AU"/>
        </w:rPr>
      </w:pPr>
    </w:p>
    <w:p w14:paraId="0547EC5F" w14:textId="77777777" w:rsidR="00DC1E0D" w:rsidRPr="00DC1E0D" w:rsidRDefault="00DC1E0D" w:rsidP="00DC1E0D">
      <w:pPr>
        <w:autoSpaceDE w:val="0"/>
        <w:autoSpaceDN w:val="0"/>
        <w:adjustRightInd w:val="0"/>
        <w:spacing w:after="0" w:line="240" w:lineRule="auto"/>
        <w:jc w:val="both"/>
        <w:rPr>
          <w:rFonts w:ascii="Arial" w:eastAsia="Times New Roman" w:hAnsi="Arial" w:cs="Arial"/>
          <w:b/>
          <w:sz w:val="24"/>
          <w:szCs w:val="24"/>
          <w:lang w:val="en-AU"/>
        </w:rPr>
      </w:pPr>
    </w:p>
    <w:p w14:paraId="0347B027" w14:textId="510CD130" w:rsidR="00BB705D" w:rsidRPr="00BB705D" w:rsidRDefault="00BB705D" w:rsidP="00BB705D">
      <w:pPr>
        <w:pStyle w:val="ListParagraph"/>
        <w:numPr>
          <w:ilvl w:val="0"/>
          <w:numId w:val="2"/>
        </w:numPr>
        <w:autoSpaceDE w:val="0"/>
        <w:autoSpaceDN w:val="0"/>
        <w:adjustRightInd w:val="0"/>
        <w:spacing w:after="0" w:line="240" w:lineRule="auto"/>
        <w:jc w:val="both"/>
        <w:rPr>
          <w:rFonts w:ascii="Arial" w:eastAsia="Times New Roman" w:hAnsi="Arial" w:cs="Arial"/>
          <w:b/>
          <w:sz w:val="24"/>
          <w:szCs w:val="24"/>
          <w:lang w:val="en-AU"/>
        </w:rPr>
      </w:pPr>
      <w:r w:rsidRPr="00BB705D">
        <w:rPr>
          <w:rFonts w:ascii="Arial" w:eastAsia="Times New Roman" w:hAnsi="Arial" w:cs="Arial"/>
          <w:b/>
          <w:sz w:val="24"/>
          <w:szCs w:val="24"/>
          <w:lang w:val="en-AU"/>
        </w:rPr>
        <w:lastRenderedPageBreak/>
        <w:t>ISO/IEC 17025 Requirements concerning Subcontracting of Tests</w:t>
      </w:r>
    </w:p>
    <w:p w14:paraId="0AE270BF" w14:textId="77777777" w:rsidR="00BB705D" w:rsidRDefault="00BB705D" w:rsidP="00BB705D">
      <w:pPr>
        <w:autoSpaceDE w:val="0"/>
        <w:autoSpaceDN w:val="0"/>
        <w:adjustRightInd w:val="0"/>
        <w:spacing w:after="0" w:line="240" w:lineRule="auto"/>
        <w:jc w:val="both"/>
        <w:rPr>
          <w:rFonts w:ascii="Arial" w:eastAsia="Times New Roman" w:hAnsi="Arial" w:cs="Arial"/>
          <w:bCs/>
          <w:sz w:val="24"/>
          <w:szCs w:val="24"/>
          <w:lang w:val="en-AU"/>
        </w:rPr>
      </w:pPr>
    </w:p>
    <w:p w14:paraId="24B12325" w14:textId="2A9B75BE" w:rsidR="00266384" w:rsidRDefault="00D81610" w:rsidP="00BB705D">
      <w:pPr>
        <w:pStyle w:val="Default"/>
        <w:rPr>
          <w:rFonts w:ascii="Arial" w:eastAsia="Times New Roman" w:hAnsi="Arial" w:cs="Arial"/>
          <w:bCs/>
        </w:rPr>
      </w:pPr>
      <w:r>
        <w:rPr>
          <w:rFonts w:ascii="Arial" w:eastAsia="Times New Roman" w:hAnsi="Arial" w:cs="Arial"/>
          <w:bCs/>
        </w:rPr>
        <w:t xml:space="preserve">In focusing our attention on the subcontracting of tests, we see that previous </w:t>
      </w:r>
      <w:r w:rsidR="00BB705D">
        <w:rPr>
          <w:rFonts w:ascii="Arial" w:eastAsia="Times New Roman" w:hAnsi="Arial" w:cs="Arial"/>
          <w:bCs/>
        </w:rPr>
        <w:t>editions of ISO/IEC 17025</w:t>
      </w:r>
      <w:r w:rsidR="00BB705D" w:rsidRPr="00BB705D">
        <w:rPr>
          <w:rFonts w:ascii="Arial" w:eastAsia="Times New Roman" w:hAnsi="Arial" w:cs="Arial"/>
          <w:bCs/>
        </w:rPr>
        <w:t xml:space="preserve"> </w:t>
      </w:r>
      <w:r w:rsidR="00BB705D" w:rsidRPr="00BB705D">
        <w:rPr>
          <w:rFonts w:ascii="Arial" w:eastAsia="Times New Roman" w:hAnsi="Arial" w:cs="Arial"/>
          <w:bCs/>
          <w:i/>
          <w:iCs/>
        </w:rPr>
        <w:t>General requirements for the competence of testing and calibration laboratories</w:t>
      </w:r>
      <w:r w:rsidR="00517C7F" w:rsidRPr="00BB705D">
        <w:rPr>
          <w:rFonts w:ascii="Arial" w:eastAsia="Times New Roman" w:hAnsi="Arial" w:cs="Arial"/>
          <w:bCs/>
        </w:rPr>
        <w:t xml:space="preserve"> </w:t>
      </w:r>
      <w:r w:rsidR="00BB705D">
        <w:rPr>
          <w:rFonts w:ascii="Arial" w:eastAsia="Times New Roman" w:hAnsi="Arial" w:cs="Arial"/>
          <w:bCs/>
        </w:rPr>
        <w:t>included a dedicated Clause on the topic of “Subcontracting of Tests”, such as Clause 4.5 of Edition 2.0, extracted below</w:t>
      </w:r>
    </w:p>
    <w:p w14:paraId="193E1C10" w14:textId="77777777" w:rsidR="00BB705D" w:rsidRDefault="00BB705D" w:rsidP="00BB705D">
      <w:pPr>
        <w:pStyle w:val="Default"/>
        <w:rPr>
          <w:rFonts w:ascii="Arial" w:eastAsia="Times New Roman" w:hAnsi="Arial" w:cs="Arial"/>
          <w:bCs/>
        </w:rPr>
      </w:pPr>
    </w:p>
    <w:p w14:paraId="07808485" w14:textId="4F7FFCBA" w:rsidR="00BB705D" w:rsidRPr="008B3447" w:rsidRDefault="00BB705D" w:rsidP="00BB705D">
      <w:pPr>
        <w:pBdr>
          <w:top w:val="single" w:sz="4" w:space="1" w:color="auto"/>
          <w:left w:val="single" w:sz="4" w:space="4" w:color="auto"/>
          <w:bottom w:val="single" w:sz="4" w:space="1" w:color="auto"/>
          <w:right w:val="single" w:sz="4" w:space="4" w:color="auto"/>
        </w:pBdr>
        <w:autoSpaceDE w:val="0"/>
        <w:autoSpaceDN w:val="0"/>
        <w:rPr>
          <w:rFonts w:ascii="Arial,Bold" w:hAnsi="Arial,Bold"/>
          <w:b/>
          <w:bCs/>
          <w:color w:val="0070C0"/>
          <w:lang w:val="en-AU" w:eastAsia="en-AU"/>
        </w:rPr>
      </w:pPr>
      <w:r w:rsidRPr="008B3447">
        <w:rPr>
          <w:rFonts w:ascii="Arial,Bold" w:hAnsi="Arial,Bold"/>
          <w:b/>
          <w:bCs/>
          <w:color w:val="0070C0"/>
          <w:lang w:val="en-AU" w:eastAsia="en-AU"/>
        </w:rPr>
        <w:t>4.5 Subcontracting of tests and calibrations {Extract from ISO/IEC 17025 Edition 2}</w:t>
      </w:r>
    </w:p>
    <w:p w14:paraId="686895CA" w14:textId="77777777" w:rsidR="00BB705D" w:rsidRPr="008B3447" w:rsidRDefault="00BB705D" w:rsidP="00BB705D">
      <w:pPr>
        <w:pBdr>
          <w:top w:val="single" w:sz="4" w:space="1" w:color="auto"/>
          <w:left w:val="single" w:sz="4" w:space="4" w:color="auto"/>
          <w:bottom w:val="single" w:sz="4" w:space="1" w:color="auto"/>
          <w:right w:val="single" w:sz="4" w:space="4" w:color="auto"/>
        </w:pBdr>
        <w:autoSpaceDE w:val="0"/>
        <w:autoSpaceDN w:val="0"/>
        <w:rPr>
          <w:rFonts w:ascii="Arial" w:hAnsi="Arial" w:cs="Arial"/>
          <w:color w:val="0070C0"/>
          <w:sz w:val="20"/>
          <w:szCs w:val="20"/>
          <w:lang w:val="en-AU" w:eastAsia="en-AU"/>
        </w:rPr>
      </w:pPr>
      <w:r w:rsidRPr="008B3447">
        <w:rPr>
          <w:rFonts w:ascii="Arial,Bold" w:hAnsi="Arial,Bold"/>
          <w:b/>
          <w:bCs/>
          <w:color w:val="0070C0"/>
          <w:sz w:val="20"/>
          <w:szCs w:val="20"/>
          <w:lang w:val="en-AU" w:eastAsia="en-AU"/>
        </w:rPr>
        <w:t xml:space="preserve">4.5.1 </w:t>
      </w:r>
      <w:r w:rsidRPr="008B3447">
        <w:rPr>
          <w:rFonts w:ascii="Arial" w:hAnsi="Arial" w:cs="Arial"/>
          <w:color w:val="0070C0"/>
          <w:sz w:val="20"/>
          <w:szCs w:val="20"/>
          <w:lang w:val="en-AU" w:eastAsia="en-AU"/>
        </w:rPr>
        <w:t>When a laboratory subcontracts work, whether because of unforeseen reasons (e.g. workload, need for further expertise or temporary incapacity) or on a continuing basis (e.g. through permanent subcontracting, agency or franchising arrangements), this work shall be placed with a competent subcontractor. A competent subcontractor is one that, for example, complies with this International Standard for the work in question.</w:t>
      </w:r>
    </w:p>
    <w:p w14:paraId="0F475E6C" w14:textId="77777777" w:rsidR="00BB705D" w:rsidRPr="008B3447" w:rsidRDefault="00BB705D" w:rsidP="00BB705D">
      <w:pPr>
        <w:pBdr>
          <w:top w:val="single" w:sz="4" w:space="1" w:color="auto"/>
          <w:left w:val="single" w:sz="4" w:space="4" w:color="auto"/>
          <w:bottom w:val="single" w:sz="4" w:space="1" w:color="auto"/>
          <w:right w:val="single" w:sz="4" w:space="4" w:color="auto"/>
        </w:pBdr>
        <w:autoSpaceDE w:val="0"/>
        <w:autoSpaceDN w:val="0"/>
        <w:rPr>
          <w:rFonts w:ascii="Arial" w:hAnsi="Arial" w:cs="Arial"/>
          <w:color w:val="0070C0"/>
          <w:sz w:val="20"/>
          <w:szCs w:val="20"/>
          <w:lang w:val="en-AU" w:eastAsia="en-AU"/>
        </w:rPr>
      </w:pPr>
      <w:r w:rsidRPr="008B3447">
        <w:rPr>
          <w:rFonts w:ascii="Arial,Bold" w:hAnsi="Arial,Bold"/>
          <w:b/>
          <w:bCs/>
          <w:color w:val="0070C0"/>
          <w:sz w:val="20"/>
          <w:szCs w:val="20"/>
          <w:lang w:val="en-AU" w:eastAsia="en-AU"/>
        </w:rPr>
        <w:t xml:space="preserve">4.5.2 </w:t>
      </w:r>
      <w:r w:rsidRPr="008B3447">
        <w:rPr>
          <w:rFonts w:ascii="Arial" w:hAnsi="Arial" w:cs="Arial"/>
          <w:color w:val="0070C0"/>
          <w:sz w:val="20"/>
          <w:szCs w:val="20"/>
          <w:lang w:val="en-AU" w:eastAsia="en-AU"/>
        </w:rPr>
        <w:t>The laboratory shall advise the customer of the arrangement in writing and, when appropriate, gain the approval of the customer, preferably in writing.</w:t>
      </w:r>
    </w:p>
    <w:p w14:paraId="3FFE0843" w14:textId="77777777" w:rsidR="00BB705D" w:rsidRPr="008B3447" w:rsidRDefault="00BB705D" w:rsidP="00BB705D">
      <w:pPr>
        <w:pBdr>
          <w:top w:val="single" w:sz="4" w:space="1" w:color="auto"/>
          <w:left w:val="single" w:sz="4" w:space="4" w:color="auto"/>
          <w:bottom w:val="single" w:sz="4" w:space="1" w:color="auto"/>
          <w:right w:val="single" w:sz="4" w:space="4" w:color="auto"/>
        </w:pBdr>
        <w:autoSpaceDE w:val="0"/>
        <w:autoSpaceDN w:val="0"/>
        <w:rPr>
          <w:rFonts w:ascii="Arial" w:hAnsi="Arial" w:cs="Arial"/>
          <w:color w:val="0070C0"/>
          <w:sz w:val="20"/>
          <w:szCs w:val="20"/>
          <w:lang w:val="en-AU" w:eastAsia="en-AU"/>
        </w:rPr>
      </w:pPr>
      <w:r w:rsidRPr="008B3447">
        <w:rPr>
          <w:rFonts w:ascii="Arial,Bold" w:hAnsi="Arial,Bold"/>
          <w:b/>
          <w:bCs/>
          <w:color w:val="0070C0"/>
          <w:sz w:val="20"/>
          <w:szCs w:val="20"/>
          <w:lang w:val="en-AU" w:eastAsia="en-AU"/>
        </w:rPr>
        <w:t xml:space="preserve">4.5.3 </w:t>
      </w:r>
      <w:r w:rsidRPr="008B3447">
        <w:rPr>
          <w:rFonts w:ascii="Arial" w:hAnsi="Arial" w:cs="Arial"/>
          <w:color w:val="0070C0"/>
          <w:sz w:val="20"/>
          <w:szCs w:val="20"/>
          <w:lang w:val="en-AU" w:eastAsia="en-AU"/>
        </w:rPr>
        <w:t>The laboratory is responsible to the customer for the subcontractor’s work, except in the case where the customer or a regulatory authority specifies which subcontractor is to be used.</w:t>
      </w:r>
    </w:p>
    <w:p w14:paraId="0F8FC091" w14:textId="77777777" w:rsidR="00BB705D" w:rsidRPr="008B3447" w:rsidRDefault="00BB705D" w:rsidP="00BB705D">
      <w:pPr>
        <w:pBdr>
          <w:top w:val="single" w:sz="4" w:space="1" w:color="auto"/>
          <w:left w:val="single" w:sz="4" w:space="4" w:color="auto"/>
          <w:bottom w:val="single" w:sz="4" w:space="1" w:color="auto"/>
          <w:right w:val="single" w:sz="4" w:space="4" w:color="auto"/>
        </w:pBdr>
        <w:autoSpaceDE w:val="0"/>
        <w:autoSpaceDN w:val="0"/>
        <w:rPr>
          <w:rFonts w:ascii="Calibri" w:hAnsi="Calibri" w:cs="Calibri"/>
          <w:color w:val="0070C0"/>
          <w:sz w:val="20"/>
          <w:szCs w:val="20"/>
          <w:lang w:val="en-AU"/>
        </w:rPr>
      </w:pPr>
      <w:r w:rsidRPr="008B3447">
        <w:rPr>
          <w:rFonts w:ascii="Arial,Bold" w:hAnsi="Arial,Bold"/>
          <w:b/>
          <w:bCs/>
          <w:color w:val="0070C0"/>
          <w:sz w:val="20"/>
          <w:szCs w:val="20"/>
          <w:lang w:val="en-AU" w:eastAsia="en-AU"/>
        </w:rPr>
        <w:t xml:space="preserve">4.5.4 </w:t>
      </w:r>
      <w:r w:rsidRPr="008B3447">
        <w:rPr>
          <w:rFonts w:ascii="Arial" w:hAnsi="Arial" w:cs="Arial"/>
          <w:color w:val="0070C0"/>
          <w:sz w:val="20"/>
          <w:szCs w:val="20"/>
          <w:lang w:val="en-AU" w:eastAsia="en-AU"/>
        </w:rPr>
        <w:t>The laboratory shall maintain a register of all subcontractors that it uses for tests and/or calibrations and a record of the evidence of compliance with this International Standard for the work in question.</w:t>
      </w:r>
    </w:p>
    <w:p w14:paraId="36F24652" w14:textId="77777777" w:rsidR="00BB705D" w:rsidRPr="00BB705D" w:rsidRDefault="00BB705D" w:rsidP="00BB705D">
      <w:pPr>
        <w:pStyle w:val="Default"/>
        <w:rPr>
          <w:rFonts w:ascii="Arial" w:eastAsia="Times New Roman" w:hAnsi="Arial" w:cs="Arial"/>
          <w:bCs/>
        </w:rPr>
      </w:pPr>
    </w:p>
    <w:p w14:paraId="2EFF9A6B" w14:textId="45BA4ABF" w:rsidR="005A6759" w:rsidRDefault="00D81610"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A</w:t>
      </w:r>
      <w:r w:rsidR="00295501">
        <w:rPr>
          <w:rFonts w:ascii="Arial" w:eastAsia="Times New Roman" w:hAnsi="Arial" w:cs="Arial"/>
          <w:bCs/>
          <w:sz w:val="24"/>
          <w:szCs w:val="24"/>
          <w:lang w:val="en-AU"/>
        </w:rPr>
        <w:t xml:space="preserve"> separate Clause, Clause 4.6 </w:t>
      </w:r>
      <w:r w:rsidR="00295501" w:rsidRPr="00295501">
        <w:rPr>
          <w:rFonts w:ascii="Arial" w:eastAsia="Times New Roman" w:hAnsi="Arial" w:cs="Arial"/>
          <w:bCs/>
          <w:i/>
          <w:iCs/>
          <w:sz w:val="24"/>
          <w:szCs w:val="24"/>
          <w:lang w:val="en-AU"/>
        </w:rPr>
        <w:t>“Purchasing services and supplies</w:t>
      </w:r>
      <w:r w:rsidR="00295501">
        <w:rPr>
          <w:rFonts w:ascii="Arial" w:eastAsia="Times New Roman" w:hAnsi="Arial" w:cs="Arial"/>
          <w:bCs/>
          <w:sz w:val="24"/>
          <w:szCs w:val="24"/>
          <w:lang w:val="en-AU"/>
        </w:rPr>
        <w:t>”</w:t>
      </w:r>
      <w:r w:rsidR="00273566">
        <w:rPr>
          <w:rFonts w:ascii="Arial" w:eastAsia="Times New Roman" w:hAnsi="Arial" w:cs="Arial"/>
          <w:bCs/>
          <w:sz w:val="24"/>
          <w:szCs w:val="24"/>
          <w:lang w:val="en-AU"/>
        </w:rPr>
        <w:t>,</w:t>
      </w:r>
      <w:r w:rsidR="00295501">
        <w:rPr>
          <w:rFonts w:ascii="Arial" w:eastAsia="Times New Roman" w:hAnsi="Arial" w:cs="Arial"/>
          <w:bCs/>
          <w:sz w:val="24"/>
          <w:szCs w:val="24"/>
          <w:lang w:val="en-AU"/>
        </w:rPr>
        <w:t xml:space="preserve"> to address the control of service providers and suppliers beyond those providing subcontracted testing services</w:t>
      </w:r>
      <w:r>
        <w:rPr>
          <w:rFonts w:ascii="Arial" w:eastAsia="Times New Roman" w:hAnsi="Arial" w:cs="Arial"/>
          <w:bCs/>
          <w:sz w:val="24"/>
          <w:szCs w:val="24"/>
          <w:lang w:val="en-AU"/>
        </w:rPr>
        <w:t xml:space="preserve"> was also included in previous editions of ISO/IEC 17025</w:t>
      </w:r>
      <w:r w:rsidR="00295501">
        <w:rPr>
          <w:rFonts w:ascii="Arial" w:eastAsia="Times New Roman" w:hAnsi="Arial" w:cs="Arial"/>
          <w:bCs/>
          <w:sz w:val="24"/>
          <w:szCs w:val="24"/>
          <w:lang w:val="en-AU"/>
        </w:rPr>
        <w:t>.</w:t>
      </w:r>
    </w:p>
    <w:p w14:paraId="5F4EC442" w14:textId="6BCC0CB6" w:rsidR="00295501" w:rsidRDefault="00295501" w:rsidP="006F1E17">
      <w:pPr>
        <w:autoSpaceDE w:val="0"/>
        <w:autoSpaceDN w:val="0"/>
        <w:adjustRightInd w:val="0"/>
        <w:spacing w:after="0" w:line="240" w:lineRule="auto"/>
        <w:jc w:val="both"/>
        <w:rPr>
          <w:rFonts w:ascii="Arial" w:eastAsia="Times New Roman" w:hAnsi="Arial" w:cs="Arial"/>
          <w:bCs/>
          <w:sz w:val="24"/>
          <w:szCs w:val="24"/>
          <w:lang w:val="en-AU"/>
        </w:rPr>
      </w:pPr>
    </w:p>
    <w:p w14:paraId="0E10A22C" w14:textId="31BDFE11" w:rsidR="00295501" w:rsidRDefault="00295501" w:rsidP="006F1E17">
      <w:pPr>
        <w:autoSpaceDE w:val="0"/>
        <w:autoSpaceDN w:val="0"/>
        <w:adjustRightInd w:val="0"/>
        <w:spacing w:after="0" w:line="240" w:lineRule="auto"/>
        <w:jc w:val="both"/>
        <w:rPr>
          <w:rFonts w:ascii="Arial" w:eastAsia="Times New Roman" w:hAnsi="Arial" w:cs="Arial"/>
          <w:bCs/>
          <w:sz w:val="24"/>
          <w:szCs w:val="24"/>
          <w:lang w:val="en-AU"/>
        </w:rPr>
      </w:pPr>
      <w:r>
        <w:rPr>
          <w:rFonts w:ascii="Arial" w:eastAsia="Times New Roman" w:hAnsi="Arial" w:cs="Arial"/>
          <w:bCs/>
          <w:sz w:val="24"/>
          <w:szCs w:val="24"/>
          <w:lang w:val="en-AU"/>
        </w:rPr>
        <w:t xml:space="preserve">During the revision of </w:t>
      </w:r>
      <w:r w:rsidR="00D81610">
        <w:rPr>
          <w:rFonts w:ascii="Arial" w:eastAsia="Times New Roman" w:hAnsi="Arial" w:cs="Arial"/>
          <w:bCs/>
          <w:sz w:val="24"/>
          <w:szCs w:val="24"/>
          <w:lang w:val="en-AU"/>
        </w:rPr>
        <w:t xml:space="preserve">ISO/IEC 17025 </w:t>
      </w:r>
      <w:r>
        <w:rPr>
          <w:rFonts w:ascii="Arial" w:eastAsia="Times New Roman" w:hAnsi="Arial" w:cs="Arial"/>
          <w:bCs/>
          <w:sz w:val="24"/>
          <w:szCs w:val="24"/>
          <w:lang w:val="en-AU"/>
        </w:rPr>
        <w:t>Ed 2.0 both items of Clause 4.5 and 4.6 were somewhat combined</w:t>
      </w:r>
      <w:r w:rsidR="009B7125">
        <w:rPr>
          <w:rFonts w:ascii="Arial" w:eastAsia="Times New Roman" w:hAnsi="Arial" w:cs="Arial"/>
          <w:bCs/>
          <w:sz w:val="24"/>
          <w:szCs w:val="24"/>
          <w:lang w:val="en-AU"/>
        </w:rPr>
        <w:t xml:space="preserve"> and now presented under Clause 6.6 “</w:t>
      </w:r>
      <w:r w:rsidR="009B7125" w:rsidRPr="0059088F">
        <w:rPr>
          <w:rFonts w:ascii="Arial" w:eastAsia="Times New Roman" w:hAnsi="Arial" w:cs="Arial"/>
          <w:b/>
          <w:sz w:val="24"/>
          <w:szCs w:val="24"/>
          <w:lang w:val="en-AU"/>
        </w:rPr>
        <w:t>Externally provided products and services</w:t>
      </w:r>
      <w:r w:rsidR="009B7125">
        <w:rPr>
          <w:rFonts w:ascii="Arial" w:eastAsia="Times New Roman" w:hAnsi="Arial" w:cs="Arial"/>
          <w:bCs/>
          <w:sz w:val="24"/>
          <w:szCs w:val="24"/>
          <w:lang w:val="en-AU"/>
        </w:rPr>
        <w:t>”, extract below</w:t>
      </w:r>
      <w:r w:rsidR="0059088F">
        <w:rPr>
          <w:rFonts w:ascii="Arial" w:eastAsia="Times New Roman" w:hAnsi="Arial" w:cs="Arial"/>
          <w:bCs/>
          <w:sz w:val="24"/>
          <w:szCs w:val="24"/>
          <w:lang w:val="en-AU"/>
        </w:rPr>
        <w:t>:</w:t>
      </w:r>
    </w:p>
    <w:p w14:paraId="3AC5D324" w14:textId="77777777" w:rsidR="005A6759" w:rsidRDefault="005A6759" w:rsidP="006F1E17">
      <w:pPr>
        <w:autoSpaceDE w:val="0"/>
        <w:autoSpaceDN w:val="0"/>
        <w:adjustRightInd w:val="0"/>
        <w:spacing w:after="0" w:line="240" w:lineRule="auto"/>
        <w:jc w:val="both"/>
        <w:rPr>
          <w:rFonts w:ascii="Arial" w:eastAsia="Times New Roman" w:hAnsi="Arial" w:cs="Arial"/>
          <w:bCs/>
          <w:sz w:val="24"/>
          <w:szCs w:val="24"/>
          <w:lang w:val="en-AU"/>
        </w:rPr>
      </w:pPr>
    </w:p>
    <w:p w14:paraId="7E37A65C" w14:textId="49C39105" w:rsidR="009B7125" w:rsidRPr="008B3447" w:rsidRDefault="005A6759" w:rsidP="0059088F">
      <w:pPr>
        <w:pBdr>
          <w:top w:val="single" w:sz="4" w:space="1" w:color="auto"/>
          <w:left w:val="single" w:sz="4" w:space="4" w:color="auto"/>
          <w:bottom w:val="single" w:sz="4" w:space="1" w:color="auto"/>
          <w:right w:val="single" w:sz="4" w:space="4" w:color="auto"/>
        </w:pBdr>
        <w:autoSpaceDE w:val="0"/>
        <w:autoSpaceDN w:val="0"/>
        <w:rPr>
          <w:rFonts w:ascii="Arial,Bold" w:hAnsi="Arial,Bold"/>
          <w:b/>
          <w:bCs/>
          <w:color w:val="0070C0"/>
          <w:lang w:val="en-AU" w:eastAsia="en-AU"/>
        </w:rPr>
      </w:pPr>
      <w:r w:rsidRPr="008B3447">
        <w:rPr>
          <w:rFonts w:ascii="Arial,Bold" w:hAnsi="Arial,Bold"/>
          <w:b/>
          <w:bCs/>
          <w:color w:val="0070C0"/>
          <w:lang w:val="en-AU" w:eastAsia="en-AU"/>
        </w:rPr>
        <w:t>6.6 Externally provided products and services</w:t>
      </w:r>
      <w:r w:rsidR="009B7125" w:rsidRPr="008B3447">
        <w:rPr>
          <w:rFonts w:ascii="Arial,Bold" w:hAnsi="Arial,Bold"/>
          <w:b/>
          <w:bCs/>
          <w:color w:val="0070C0"/>
          <w:lang w:val="en-AU" w:eastAsia="en-AU"/>
        </w:rPr>
        <w:t xml:space="preserve"> {Extract from ISO/IEC 17025 Edition 3}</w:t>
      </w:r>
    </w:p>
    <w:p w14:paraId="3F1CF59B" w14:textId="77777777" w:rsidR="005A6759" w:rsidRPr="008B3447" w:rsidRDefault="005A6759" w:rsidP="0059088F">
      <w:pPr>
        <w:pStyle w:val="Pa22"/>
        <w:pBdr>
          <w:top w:val="single" w:sz="4" w:space="1" w:color="auto"/>
          <w:left w:val="single" w:sz="4" w:space="4" w:color="auto"/>
          <w:bottom w:val="single" w:sz="4" w:space="1" w:color="auto"/>
          <w:right w:val="single" w:sz="4" w:space="4" w:color="auto"/>
        </w:pBdr>
        <w:spacing w:before="100" w:after="180"/>
        <w:jc w:val="both"/>
        <w:rPr>
          <w:rFonts w:ascii="Arial" w:hAnsi="Arial" w:cs="Arial"/>
          <w:color w:val="0070C0"/>
          <w:sz w:val="20"/>
          <w:szCs w:val="20"/>
        </w:rPr>
      </w:pPr>
      <w:r w:rsidRPr="008B3447">
        <w:rPr>
          <w:rFonts w:ascii="Arial" w:hAnsi="Arial" w:cs="Arial"/>
          <w:b/>
          <w:bCs/>
          <w:color w:val="0070C0"/>
          <w:sz w:val="20"/>
          <w:szCs w:val="20"/>
        </w:rPr>
        <w:t>6.6.1</w:t>
      </w:r>
      <w:r w:rsidRPr="008B3447">
        <w:rPr>
          <w:rFonts w:ascii="Arial" w:hAnsi="Arial" w:cs="Arial"/>
          <w:color w:val="0070C0"/>
          <w:sz w:val="20"/>
          <w:szCs w:val="20"/>
        </w:rPr>
        <w:t xml:space="preserve"> The laboratory shall ensure that only suitable externally provided products and services that affect laboratory activities are used, when such products and services:</w:t>
      </w:r>
    </w:p>
    <w:p w14:paraId="5507032A" w14:textId="77777777" w:rsidR="005A6759" w:rsidRPr="008B3447" w:rsidRDefault="005A6759" w:rsidP="0059088F">
      <w:pPr>
        <w:pStyle w:val="Pa15"/>
        <w:pBdr>
          <w:top w:val="single" w:sz="4" w:space="1" w:color="auto"/>
          <w:left w:val="single" w:sz="4" w:space="4" w:color="auto"/>
          <w:bottom w:val="single" w:sz="4" w:space="1" w:color="auto"/>
          <w:right w:val="single" w:sz="4" w:space="4" w:color="auto"/>
        </w:pBdr>
        <w:spacing w:after="180"/>
        <w:ind w:left="400" w:hanging="400"/>
        <w:jc w:val="both"/>
        <w:rPr>
          <w:rFonts w:ascii="Arial" w:hAnsi="Arial" w:cs="Arial"/>
          <w:color w:val="0070C0"/>
          <w:sz w:val="20"/>
          <w:szCs w:val="20"/>
        </w:rPr>
      </w:pPr>
      <w:r w:rsidRPr="008B3447">
        <w:rPr>
          <w:rFonts w:ascii="Arial" w:hAnsi="Arial" w:cs="Arial"/>
          <w:color w:val="0070C0"/>
          <w:sz w:val="20"/>
          <w:szCs w:val="20"/>
        </w:rPr>
        <w:t>a) are intended for incorporation into the laboratory’s own activities;</w:t>
      </w:r>
    </w:p>
    <w:p w14:paraId="09114385" w14:textId="77777777" w:rsidR="005A6759" w:rsidRPr="008B3447" w:rsidRDefault="005A6759" w:rsidP="0059088F">
      <w:pPr>
        <w:pStyle w:val="Pa15"/>
        <w:pBdr>
          <w:top w:val="single" w:sz="4" w:space="1" w:color="auto"/>
          <w:left w:val="single" w:sz="4" w:space="4" w:color="auto"/>
          <w:bottom w:val="single" w:sz="4" w:space="1" w:color="auto"/>
          <w:right w:val="single" w:sz="4" w:space="4" w:color="auto"/>
        </w:pBdr>
        <w:spacing w:after="180"/>
        <w:ind w:left="400" w:hanging="400"/>
        <w:jc w:val="both"/>
        <w:rPr>
          <w:rFonts w:ascii="Arial" w:hAnsi="Arial" w:cs="Arial"/>
          <w:color w:val="0070C0"/>
          <w:sz w:val="20"/>
          <w:szCs w:val="20"/>
        </w:rPr>
      </w:pPr>
      <w:r w:rsidRPr="008B3447">
        <w:rPr>
          <w:rFonts w:ascii="Arial" w:hAnsi="Arial" w:cs="Arial"/>
          <w:color w:val="0070C0"/>
          <w:sz w:val="20"/>
          <w:szCs w:val="20"/>
        </w:rPr>
        <w:t>b) are provided, in part or in full, directly to the customer by the laboratory, as received from the external provider;</w:t>
      </w:r>
    </w:p>
    <w:p w14:paraId="7657EFF3" w14:textId="77777777" w:rsidR="005A6759" w:rsidRPr="008B3447" w:rsidRDefault="005A6759" w:rsidP="0059088F">
      <w:pPr>
        <w:pStyle w:val="Pa15"/>
        <w:pBdr>
          <w:top w:val="single" w:sz="4" w:space="1" w:color="auto"/>
          <w:left w:val="single" w:sz="4" w:space="4" w:color="auto"/>
          <w:bottom w:val="single" w:sz="4" w:space="1" w:color="auto"/>
          <w:right w:val="single" w:sz="4" w:space="4" w:color="auto"/>
        </w:pBdr>
        <w:spacing w:after="180"/>
        <w:ind w:left="400" w:hanging="400"/>
        <w:jc w:val="both"/>
        <w:rPr>
          <w:rFonts w:ascii="Arial" w:hAnsi="Arial" w:cs="Arial"/>
          <w:color w:val="0070C0"/>
          <w:sz w:val="20"/>
          <w:szCs w:val="20"/>
        </w:rPr>
      </w:pPr>
      <w:r w:rsidRPr="008B3447">
        <w:rPr>
          <w:rFonts w:ascii="Arial" w:hAnsi="Arial" w:cs="Arial"/>
          <w:color w:val="0070C0"/>
          <w:sz w:val="20"/>
          <w:szCs w:val="20"/>
        </w:rPr>
        <w:t>c) are used to support the operation of the laboratory.</w:t>
      </w:r>
    </w:p>
    <w:p w14:paraId="269D24AE" w14:textId="77777777" w:rsidR="005A6759" w:rsidRPr="008B3447" w:rsidRDefault="005A6759" w:rsidP="0059088F">
      <w:pPr>
        <w:pBdr>
          <w:top w:val="single" w:sz="4" w:space="1" w:color="auto"/>
          <w:left w:val="single" w:sz="4" w:space="4" w:color="auto"/>
          <w:bottom w:val="single" w:sz="4" w:space="1" w:color="auto"/>
          <w:right w:val="single" w:sz="4" w:space="4" w:color="auto"/>
        </w:pBdr>
        <w:rPr>
          <w:rFonts w:ascii="Arial" w:hAnsi="Arial" w:cs="Arial"/>
          <w:color w:val="0070C0"/>
          <w:sz w:val="20"/>
          <w:szCs w:val="20"/>
          <w:lang w:val="en-AU" w:eastAsia="en-AU"/>
        </w:rPr>
      </w:pPr>
      <w:r w:rsidRPr="008B3447">
        <w:rPr>
          <w:rFonts w:ascii="Arial" w:hAnsi="Arial" w:cs="Arial"/>
          <w:color w:val="0070C0"/>
          <w:sz w:val="20"/>
          <w:szCs w:val="20"/>
          <w:lang w:val="en-AU" w:eastAsia="en-AU"/>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p w14:paraId="623DE743"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before="100" w:after="180" w:line="221" w:lineRule="atLeast"/>
        <w:jc w:val="both"/>
        <w:rPr>
          <w:rFonts w:ascii="Arial" w:hAnsi="Arial" w:cs="Arial"/>
          <w:color w:val="0070C0"/>
          <w:sz w:val="20"/>
          <w:szCs w:val="20"/>
          <w:lang w:val="en-AU" w:eastAsia="en-AU"/>
        </w:rPr>
      </w:pPr>
      <w:r w:rsidRPr="008B3447">
        <w:rPr>
          <w:rFonts w:ascii="Arial" w:hAnsi="Arial" w:cs="Arial"/>
          <w:b/>
          <w:bCs/>
          <w:color w:val="0070C0"/>
          <w:sz w:val="20"/>
          <w:szCs w:val="20"/>
          <w:lang w:val="en-AU" w:eastAsia="en-AU"/>
        </w:rPr>
        <w:t>6.6.2</w:t>
      </w:r>
      <w:r w:rsidRPr="008B3447">
        <w:rPr>
          <w:rFonts w:ascii="Arial" w:hAnsi="Arial" w:cs="Arial"/>
          <w:color w:val="0070C0"/>
          <w:sz w:val="20"/>
          <w:szCs w:val="20"/>
          <w:lang w:val="en-AU" w:eastAsia="en-AU"/>
        </w:rPr>
        <w:t xml:space="preserve"> The laboratory shall have a procedure and retain records for:</w:t>
      </w:r>
    </w:p>
    <w:p w14:paraId="7BDDEB59"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t>a) defining, reviewing and approving the laboratory’s requirements for externally provided products and services;</w:t>
      </w:r>
    </w:p>
    <w:p w14:paraId="0B9AB8C3"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lastRenderedPageBreak/>
        <w:t>b) defining the criteria for evaluation, selection, monitoring of performance and re-evaluation of the external providers;</w:t>
      </w:r>
    </w:p>
    <w:p w14:paraId="49AEB508"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t>c) ensuring that externally provided products and services conform to the laboratory’s established requirements, or when applicable, to the relevant requirements of this document, before they are used or directly provided to the customer;</w:t>
      </w:r>
    </w:p>
    <w:p w14:paraId="4E63C37B"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t>d) taking any actions arising from evaluations, monitoring of performance and re-evaluations of the external providers.</w:t>
      </w:r>
    </w:p>
    <w:p w14:paraId="644F1BC6" w14:textId="430DF462"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before="100" w:after="180" w:line="221" w:lineRule="atLeast"/>
        <w:jc w:val="both"/>
        <w:rPr>
          <w:rFonts w:ascii="Arial" w:hAnsi="Arial" w:cs="Arial"/>
          <w:color w:val="0070C0"/>
          <w:sz w:val="20"/>
          <w:szCs w:val="20"/>
          <w:lang w:val="en-AU" w:eastAsia="en-AU"/>
        </w:rPr>
      </w:pPr>
      <w:r w:rsidRPr="008B3447">
        <w:rPr>
          <w:rFonts w:ascii="Arial" w:hAnsi="Arial" w:cs="Arial"/>
          <w:b/>
          <w:bCs/>
          <w:color w:val="0070C0"/>
          <w:sz w:val="20"/>
          <w:szCs w:val="20"/>
          <w:lang w:val="en-AU" w:eastAsia="en-AU"/>
        </w:rPr>
        <w:t>6.6.3</w:t>
      </w:r>
      <w:r w:rsidRPr="008B3447">
        <w:rPr>
          <w:rFonts w:ascii="Arial" w:hAnsi="Arial" w:cs="Arial"/>
          <w:color w:val="0070C0"/>
          <w:sz w:val="20"/>
          <w:szCs w:val="20"/>
          <w:lang w:val="en-AU" w:eastAsia="en-AU"/>
        </w:rPr>
        <w:t xml:space="preserve"> The laboratory shall communicate its requirements to external providers for:</w:t>
      </w:r>
    </w:p>
    <w:p w14:paraId="49E96FD1"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t>a) the products and services to be provided;</w:t>
      </w:r>
    </w:p>
    <w:p w14:paraId="1B738C8E"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t>b) the acceptance criteria;</w:t>
      </w:r>
    </w:p>
    <w:p w14:paraId="3AE3DF14" w14:textId="77777777" w:rsidR="009B7125" w:rsidRPr="008B3447" w:rsidRDefault="009B7125" w:rsidP="0059088F">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rFonts w:ascii="Arial" w:hAnsi="Arial" w:cs="Arial"/>
          <w:color w:val="0070C0"/>
          <w:sz w:val="20"/>
          <w:szCs w:val="20"/>
          <w:lang w:val="en-AU" w:eastAsia="en-AU"/>
        </w:rPr>
      </w:pPr>
      <w:r w:rsidRPr="008B3447">
        <w:rPr>
          <w:rFonts w:ascii="Arial" w:hAnsi="Arial" w:cs="Arial"/>
          <w:color w:val="0070C0"/>
          <w:sz w:val="20"/>
          <w:szCs w:val="20"/>
          <w:lang w:val="en-AU" w:eastAsia="en-AU"/>
        </w:rPr>
        <w:t>c) competence, including any required qualification of personnel;</w:t>
      </w:r>
    </w:p>
    <w:p w14:paraId="22FA6F06" w14:textId="52F1E4A5" w:rsidR="009B7125" w:rsidRPr="009B7125" w:rsidRDefault="009B7125" w:rsidP="0059088F">
      <w:pPr>
        <w:pBdr>
          <w:top w:val="single" w:sz="4" w:space="1" w:color="auto"/>
          <w:left w:val="single" w:sz="4" w:space="4" w:color="auto"/>
          <w:bottom w:val="single" w:sz="4" w:space="1" w:color="auto"/>
          <w:right w:val="single" w:sz="4" w:space="4" w:color="auto"/>
        </w:pBdr>
        <w:rPr>
          <w:rFonts w:ascii="Arial" w:hAnsi="Arial" w:cs="Arial"/>
          <w:color w:val="0070C0"/>
          <w:sz w:val="20"/>
          <w:szCs w:val="20"/>
          <w:lang w:eastAsia="en-AU"/>
        </w:rPr>
      </w:pPr>
      <w:r w:rsidRPr="008B3447">
        <w:rPr>
          <w:rFonts w:ascii="Arial" w:hAnsi="Arial" w:cs="Arial"/>
          <w:color w:val="0070C0"/>
          <w:sz w:val="20"/>
          <w:szCs w:val="20"/>
          <w:lang w:val="en-AU" w:eastAsia="en-AU"/>
        </w:rPr>
        <w:t>d) activities that the laboratory, or its customer, intends to perform at the external provider's premises.</w:t>
      </w:r>
    </w:p>
    <w:p w14:paraId="1502C28A" w14:textId="694D22EA" w:rsidR="00E909BF" w:rsidRDefault="00E909BF" w:rsidP="0059088F">
      <w:pPr>
        <w:autoSpaceDE w:val="0"/>
        <w:autoSpaceDN w:val="0"/>
        <w:adjustRightInd w:val="0"/>
        <w:spacing w:after="0" w:line="240" w:lineRule="auto"/>
        <w:jc w:val="both"/>
        <w:rPr>
          <w:rFonts w:ascii="Arial" w:eastAsia="Times New Roman" w:hAnsi="Arial" w:cs="Arial"/>
          <w:bCs/>
          <w:sz w:val="24"/>
          <w:szCs w:val="24"/>
          <w:lang w:val="en-AU"/>
        </w:rPr>
      </w:pPr>
      <w:r w:rsidRPr="0059088F">
        <w:rPr>
          <w:rFonts w:ascii="Arial" w:eastAsia="Times New Roman" w:hAnsi="Arial" w:cs="Arial"/>
          <w:bCs/>
          <w:sz w:val="24"/>
          <w:szCs w:val="24"/>
          <w:lang w:val="en-AU"/>
        </w:rPr>
        <w:t>A common theme that has existed throughout the various editions of ISO/IEC 17025 has been the need for Testing laboratories to have available the necessary pers</w:t>
      </w:r>
      <w:r w:rsidR="00273566">
        <w:rPr>
          <w:rFonts w:ascii="Arial" w:eastAsia="Times New Roman" w:hAnsi="Arial" w:cs="Arial"/>
          <w:bCs/>
          <w:sz w:val="24"/>
          <w:szCs w:val="24"/>
          <w:lang w:val="en-AU"/>
        </w:rPr>
        <w:t>o</w:t>
      </w:r>
      <w:r w:rsidRPr="0059088F">
        <w:rPr>
          <w:rFonts w:ascii="Arial" w:eastAsia="Times New Roman" w:hAnsi="Arial" w:cs="Arial"/>
          <w:bCs/>
          <w:sz w:val="24"/>
          <w:szCs w:val="24"/>
          <w:lang w:val="en-AU"/>
        </w:rPr>
        <w:t xml:space="preserve">nnel, facilities, equipment and systems to perform its testing services.  This has now been made very clear via Clause 6.1 Under </w:t>
      </w:r>
      <w:r w:rsidRPr="0059088F">
        <w:rPr>
          <w:rFonts w:ascii="Arial" w:eastAsia="Times New Roman" w:hAnsi="Arial" w:cs="Arial"/>
          <w:b/>
          <w:sz w:val="24"/>
          <w:szCs w:val="24"/>
          <w:lang w:val="en-AU"/>
        </w:rPr>
        <w:t>Resource Requirements</w:t>
      </w:r>
      <w:r w:rsidRPr="0059088F">
        <w:rPr>
          <w:rFonts w:ascii="Arial" w:eastAsia="Times New Roman" w:hAnsi="Arial" w:cs="Arial"/>
          <w:bCs/>
          <w:sz w:val="24"/>
          <w:szCs w:val="24"/>
          <w:lang w:val="en-AU"/>
        </w:rPr>
        <w:t xml:space="preserve"> of the current edit</w:t>
      </w:r>
      <w:r w:rsidR="0059088F">
        <w:rPr>
          <w:rFonts w:ascii="Arial" w:eastAsia="Times New Roman" w:hAnsi="Arial" w:cs="Arial"/>
          <w:bCs/>
          <w:sz w:val="24"/>
          <w:szCs w:val="24"/>
          <w:lang w:val="en-AU"/>
        </w:rPr>
        <w:t>i</w:t>
      </w:r>
      <w:r w:rsidRPr="0059088F">
        <w:rPr>
          <w:rFonts w:ascii="Arial" w:eastAsia="Times New Roman" w:hAnsi="Arial" w:cs="Arial"/>
          <w:bCs/>
          <w:sz w:val="24"/>
          <w:szCs w:val="24"/>
          <w:lang w:val="en-AU"/>
        </w:rPr>
        <w:t xml:space="preserve">on </w:t>
      </w:r>
      <w:r w:rsidR="0059088F">
        <w:rPr>
          <w:rFonts w:ascii="Arial" w:eastAsia="Times New Roman" w:hAnsi="Arial" w:cs="Arial"/>
          <w:bCs/>
          <w:sz w:val="24"/>
          <w:szCs w:val="24"/>
          <w:lang w:val="en-AU"/>
        </w:rPr>
        <w:t xml:space="preserve">3 </w:t>
      </w:r>
      <w:r w:rsidRPr="0059088F">
        <w:rPr>
          <w:rFonts w:ascii="Arial" w:eastAsia="Times New Roman" w:hAnsi="Arial" w:cs="Arial"/>
          <w:bCs/>
          <w:sz w:val="24"/>
          <w:szCs w:val="24"/>
          <w:lang w:val="en-AU"/>
        </w:rPr>
        <w:t>of ISO/IEC 17025, extract below.</w:t>
      </w:r>
    </w:p>
    <w:p w14:paraId="184DDA77" w14:textId="77777777" w:rsidR="0059088F" w:rsidRPr="0059088F" w:rsidRDefault="0059088F" w:rsidP="0059088F">
      <w:pPr>
        <w:autoSpaceDE w:val="0"/>
        <w:autoSpaceDN w:val="0"/>
        <w:adjustRightInd w:val="0"/>
        <w:spacing w:after="0" w:line="240" w:lineRule="auto"/>
        <w:jc w:val="both"/>
        <w:rPr>
          <w:rFonts w:ascii="Arial" w:eastAsia="Times New Roman" w:hAnsi="Arial" w:cs="Arial"/>
          <w:bCs/>
          <w:sz w:val="24"/>
          <w:szCs w:val="24"/>
          <w:lang w:val="en-AU"/>
        </w:rPr>
      </w:pPr>
    </w:p>
    <w:p w14:paraId="031B0C20" w14:textId="626AF66C" w:rsidR="00E909BF" w:rsidRPr="00E909BF" w:rsidRDefault="00E909BF" w:rsidP="00E909BF">
      <w:pPr>
        <w:pBdr>
          <w:top w:val="single" w:sz="4" w:space="1" w:color="auto"/>
          <w:left w:val="single" w:sz="4" w:space="4" w:color="auto"/>
          <w:bottom w:val="single" w:sz="4" w:space="1" w:color="auto"/>
          <w:right w:val="single" w:sz="4" w:space="4" w:color="auto"/>
        </w:pBdr>
        <w:autoSpaceDE w:val="0"/>
        <w:autoSpaceDN w:val="0"/>
        <w:adjustRightInd w:val="0"/>
        <w:spacing w:before="100" w:after="180" w:line="241" w:lineRule="atLeast"/>
        <w:rPr>
          <w:rFonts w:ascii="Cambria" w:hAnsi="Cambria" w:cs="Cambria"/>
          <w:color w:val="0070C0"/>
          <w:sz w:val="23"/>
          <w:szCs w:val="23"/>
          <w:lang w:val="en-AU"/>
        </w:rPr>
      </w:pPr>
      <w:r w:rsidRPr="00E909BF">
        <w:rPr>
          <w:rFonts w:ascii="Cambria" w:hAnsi="Cambria" w:cs="Cambria"/>
          <w:b/>
          <w:bCs/>
          <w:color w:val="0070C0"/>
          <w:sz w:val="23"/>
          <w:szCs w:val="23"/>
          <w:lang w:val="en-AU"/>
        </w:rPr>
        <w:t>6.1 General</w:t>
      </w:r>
      <w:r>
        <w:rPr>
          <w:rFonts w:ascii="Cambria" w:hAnsi="Cambria" w:cs="Cambria"/>
          <w:b/>
          <w:bCs/>
          <w:color w:val="0070C0"/>
          <w:sz w:val="23"/>
          <w:szCs w:val="23"/>
          <w:lang w:val="en-AU"/>
        </w:rPr>
        <w:t xml:space="preserve"> </w:t>
      </w:r>
      <w:r w:rsidRPr="00BB705D">
        <w:rPr>
          <w:rFonts w:ascii="Arial,Bold" w:hAnsi="Arial,Bold"/>
          <w:b/>
          <w:bCs/>
          <w:color w:val="0070C0"/>
          <w:lang w:eastAsia="en-AU"/>
        </w:rPr>
        <w:t xml:space="preserve">{Extract </w:t>
      </w:r>
      <w:r w:rsidRPr="008B3447">
        <w:rPr>
          <w:rFonts w:ascii="Arial,Bold" w:hAnsi="Arial,Bold"/>
          <w:b/>
          <w:bCs/>
          <w:color w:val="0070C0"/>
          <w:lang w:val="en-AU" w:eastAsia="en-AU"/>
        </w:rPr>
        <w:t>from</w:t>
      </w:r>
      <w:r w:rsidRPr="00BB705D">
        <w:rPr>
          <w:rFonts w:ascii="Arial,Bold" w:hAnsi="Arial,Bold"/>
          <w:b/>
          <w:bCs/>
          <w:color w:val="0070C0"/>
          <w:lang w:eastAsia="en-AU"/>
        </w:rPr>
        <w:t xml:space="preserve"> ISO/IEC 17025 Edition </w:t>
      </w:r>
      <w:r>
        <w:rPr>
          <w:rFonts w:ascii="Arial,Bold" w:hAnsi="Arial,Bold"/>
          <w:b/>
          <w:bCs/>
          <w:color w:val="0070C0"/>
          <w:lang w:eastAsia="en-AU"/>
        </w:rPr>
        <w:t>3</w:t>
      </w:r>
      <w:r w:rsidRPr="00BB705D">
        <w:rPr>
          <w:rFonts w:ascii="Arial,Bold" w:hAnsi="Arial,Bold"/>
          <w:b/>
          <w:bCs/>
          <w:color w:val="0070C0"/>
          <w:lang w:eastAsia="en-AU"/>
        </w:rPr>
        <w:t>}</w:t>
      </w:r>
    </w:p>
    <w:p w14:paraId="33DD6103" w14:textId="3FACDC13" w:rsidR="00E909BF" w:rsidRPr="00E909BF" w:rsidRDefault="00E909BF" w:rsidP="00E909BF">
      <w:pPr>
        <w:pBdr>
          <w:top w:val="single" w:sz="4" w:space="1" w:color="auto"/>
          <w:left w:val="single" w:sz="4" w:space="4" w:color="auto"/>
          <w:bottom w:val="single" w:sz="4" w:space="1" w:color="auto"/>
          <w:right w:val="single" w:sz="4" w:space="4" w:color="auto"/>
        </w:pBdr>
        <w:rPr>
          <w:color w:val="0070C0"/>
        </w:rPr>
      </w:pPr>
      <w:r w:rsidRPr="00E909BF">
        <w:rPr>
          <w:rFonts w:ascii="Cambria" w:hAnsi="Cambria" w:cs="Cambria"/>
          <w:color w:val="0070C0"/>
          <w:lang w:val="en-AU"/>
        </w:rPr>
        <w:t>The laboratory shall have available the personnel, facilities, equipment, systems and support services necessary to manage and perform its laboratory activities.</w:t>
      </w:r>
    </w:p>
    <w:p w14:paraId="51BCE053" w14:textId="166B2577" w:rsidR="008E346C" w:rsidRPr="0059088F" w:rsidRDefault="008E346C" w:rsidP="005A6759">
      <w:pPr>
        <w:rPr>
          <w:rFonts w:ascii="Arial" w:eastAsia="Times New Roman" w:hAnsi="Arial" w:cs="Arial"/>
          <w:bCs/>
          <w:sz w:val="24"/>
          <w:szCs w:val="24"/>
          <w:lang w:val="en-AU"/>
        </w:rPr>
      </w:pPr>
      <w:r w:rsidRPr="0059088F">
        <w:rPr>
          <w:rFonts w:ascii="Arial" w:eastAsia="Times New Roman" w:hAnsi="Arial" w:cs="Arial"/>
          <w:bCs/>
          <w:sz w:val="24"/>
          <w:szCs w:val="24"/>
          <w:lang w:val="en-AU"/>
        </w:rPr>
        <w:t xml:space="preserve">A very important message to </w:t>
      </w:r>
      <w:r w:rsidR="000671DE" w:rsidRPr="0059088F">
        <w:rPr>
          <w:rFonts w:ascii="Arial" w:eastAsia="Times New Roman" w:hAnsi="Arial" w:cs="Arial"/>
          <w:bCs/>
          <w:sz w:val="24"/>
          <w:szCs w:val="24"/>
          <w:lang w:val="en-AU"/>
        </w:rPr>
        <w:t>convey</w:t>
      </w:r>
      <w:r w:rsidRPr="0059088F">
        <w:rPr>
          <w:rFonts w:ascii="Arial" w:eastAsia="Times New Roman" w:hAnsi="Arial" w:cs="Arial"/>
          <w:bCs/>
          <w:sz w:val="24"/>
          <w:szCs w:val="24"/>
          <w:lang w:val="en-AU"/>
        </w:rPr>
        <w:t xml:space="preserve"> at this point is that in subcontracting to another organisation to provide a service, does not enable one to subcontract its </w:t>
      </w:r>
      <w:r w:rsidR="000671DE" w:rsidRPr="0059088F">
        <w:rPr>
          <w:rFonts w:ascii="Arial" w:eastAsia="Times New Roman" w:hAnsi="Arial" w:cs="Arial"/>
          <w:bCs/>
          <w:sz w:val="24"/>
          <w:szCs w:val="24"/>
          <w:lang w:val="en-AU"/>
        </w:rPr>
        <w:t>responsibility</w:t>
      </w:r>
      <w:r w:rsidRPr="0059088F">
        <w:rPr>
          <w:rFonts w:ascii="Arial" w:eastAsia="Times New Roman" w:hAnsi="Arial" w:cs="Arial"/>
          <w:bCs/>
          <w:sz w:val="24"/>
          <w:szCs w:val="24"/>
          <w:lang w:val="en-AU"/>
        </w:rPr>
        <w:t xml:space="preserve">. </w:t>
      </w:r>
    </w:p>
    <w:p w14:paraId="4ACBAF7F" w14:textId="0E192492" w:rsidR="005A6759" w:rsidRPr="0059088F" w:rsidRDefault="00E909BF" w:rsidP="005A6759">
      <w:pPr>
        <w:rPr>
          <w:rFonts w:ascii="Arial" w:eastAsia="Times New Roman" w:hAnsi="Arial" w:cs="Arial"/>
          <w:bCs/>
          <w:sz w:val="24"/>
          <w:szCs w:val="24"/>
          <w:lang w:val="en-AU"/>
        </w:rPr>
      </w:pPr>
      <w:r w:rsidRPr="0059088F">
        <w:rPr>
          <w:rFonts w:ascii="Arial" w:eastAsia="Times New Roman" w:hAnsi="Arial" w:cs="Arial"/>
          <w:bCs/>
          <w:sz w:val="24"/>
          <w:szCs w:val="24"/>
          <w:lang w:val="en-AU"/>
        </w:rPr>
        <w:t>B</w:t>
      </w:r>
      <w:r w:rsidR="005A6759" w:rsidRPr="0059088F">
        <w:rPr>
          <w:rFonts w:ascii="Arial" w:eastAsia="Times New Roman" w:hAnsi="Arial" w:cs="Arial"/>
          <w:bCs/>
          <w:sz w:val="24"/>
          <w:szCs w:val="24"/>
          <w:lang w:val="en-AU"/>
        </w:rPr>
        <w:t>ottom line</w:t>
      </w:r>
      <w:r w:rsidRPr="0059088F">
        <w:rPr>
          <w:rFonts w:ascii="Arial" w:eastAsia="Times New Roman" w:hAnsi="Arial" w:cs="Arial"/>
          <w:bCs/>
          <w:sz w:val="24"/>
          <w:szCs w:val="24"/>
          <w:lang w:val="en-AU"/>
        </w:rPr>
        <w:t>,</w:t>
      </w:r>
      <w:r w:rsidR="005A6759" w:rsidRPr="0059088F">
        <w:rPr>
          <w:rFonts w:ascii="Arial" w:eastAsia="Times New Roman" w:hAnsi="Arial" w:cs="Arial"/>
          <w:bCs/>
          <w:sz w:val="24"/>
          <w:szCs w:val="24"/>
          <w:lang w:val="en-AU"/>
        </w:rPr>
        <w:t xml:space="preserve"> is that Test</w:t>
      </w:r>
      <w:r w:rsidRPr="0059088F">
        <w:rPr>
          <w:rFonts w:ascii="Arial" w:eastAsia="Times New Roman" w:hAnsi="Arial" w:cs="Arial"/>
          <w:bCs/>
          <w:sz w:val="24"/>
          <w:szCs w:val="24"/>
          <w:lang w:val="en-AU"/>
        </w:rPr>
        <w:t>ing</w:t>
      </w:r>
      <w:r w:rsidR="005A6759" w:rsidRPr="0059088F">
        <w:rPr>
          <w:rFonts w:ascii="Arial" w:eastAsia="Times New Roman" w:hAnsi="Arial" w:cs="Arial"/>
          <w:bCs/>
          <w:sz w:val="24"/>
          <w:szCs w:val="24"/>
          <w:lang w:val="en-AU"/>
        </w:rPr>
        <w:t xml:space="preserve"> Lab</w:t>
      </w:r>
      <w:r w:rsidRPr="0059088F">
        <w:rPr>
          <w:rFonts w:ascii="Arial" w:eastAsia="Times New Roman" w:hAnsi="Arial" w:cs="Arial"/>
          <w:bCs/>
          <w:sz w:val="24"/>
          <w:szCs w:val="24"/>
          <w:lang w:val="en-AU"/>
        </w:rPr>
        <w:t>oratories are</w:t>
      </w:r>
      <w:r w:rsidR="005A6759" w:rsidRPr="0059088F">
        <w:rPr>
          <w:rFonts w:ascii="Arial" w:eastAsia="Times New Roman" w:hAnsi="Arial" w:cs="Arial"/>
          <w:bCs/>
          <w:sz w:val="24"/>
          <w:szCs w:val="24"/>
          <w:lang w:val="en-AU"/>
        </w:rPr>
        <w:t xml:space="preserve"> responsible for the Test report</w:t>
      </w:r>
      <w:r w:rsidR="0059088F">
        <w:rPr>
          <w:rFonts w:ascii="Arial" w:eastAsia="Times New Roman" w:hAnsi="Arial" w:cs="Arial"/>
          <w:bCs/>
          <w:sz w:val="24"/>
          <w:szCs w:val="24"/>
          <w:lang w:val="en-AU"/>
        </w:rPr>
        <w:t>s</w:t>
      </w:r>
      <w:r w:rsidR="005A6759" w:rsidRPr="0059088F">
        <w:rPr>
          <w:rFonts w:ascii="Arial" w:eastAsia="Times New Roman" w:hAnsi="Arial" w:cs="Arial"/>
          <w:bCs/>
          <w:sz w:val="24"/>
          <w:szCs w:val="24"/>
          <w:lang w:val="en-AU"/>
        </w:rPr>
        <w:t xml:space="preserve"> they issue and must have processes and procedures for:</w:t>
      </w:r>
    </w:p>
    <w:p w14:paraId="03187F9F" w14:textId="20A91EBC" w:rsidR="005A6759" w:rsidRPr="0059088F" w:rsidRDefault="005A6759" w:rsidP="005A6759">
      <w:pPr>
        <w:pStyle w:val="ListParagraph"/>
        <w:numPr>
          <w:ilvl w:val="0"/>
          <w:numId w:val="4"/>
        </w:numPr>
        <w:spacing w:after="0" w:line="240" w:lineRule="auto"/>
        <w:contextualSpacing w:val="0"/>
        <w:rPr>
          <w:rFonts w:ascii="Arial" w:eastAsia="Times New Roman" w:hAnsi="Arial" w:cs="Arial"/>
          <w:bCs/>
          <w:sz w:val="24"/>
          <w:szCs w:val="24"/>
          <w:lang w:val="en-AU"/>
        </w:rPr>
      </w:pPr>
      <w:r w:rsidRPr="0059088F">
        <w:rPr>
          <w:rFonts w:ascii="Arial" w:eastAsia="Times New Roman" w:hAnsi="Arial" w:cs="Arial"/>
          <w:bCs/>
          <w:sz w:val="24"/>
          <w:szCs w:val="24"/>
          <w:lang w:val="en-AU"/>
        </w:rPr>
        <w:t>Evaluating</w:t>
      </w:r>
      <w:r w:rsidR="00273566">
        <w:rPr>
          <w:rFonts w:ascii="Arial" w:eastAsia="Times New Roman" w:hAnsi="Arial" w:cs="Arial"/>
          <w:bCs/>
          <w:sz w:val="24"/>
          <w:szCs w:val="24"/>
          <w:lang w:val="en-AU"/>
        </w:rPr>
        <w:t>;</w:t>
      </w:r>
    </w:p>
    <w:p w14:paraId="5DE49A20" w14:textId="1A8F275C" w:rsidR="005A6759" w:rsidRPr="0059088F" w:rsidRDefault="005A6759" w:rsidP="005A6759">
      <w:pPr>
        <w:pStyle w:val="ListParagraph"/>
        <w:numPr>
          <w:ilvl w:val="0"/>
          <w:numId w:val="4"/>
        </w:numPr>
        <w:spacing w:after="0" w:line="240" w:lineRule="auto"/>
        <w:contextualSpacing w:val="0"/>
        <w:rPr>
          <w:rFonts w:ascii="Arial" w:eastAsia="Times New Roman" w:hAnsi="Arial" w:cs="Arial"/>
          <w:bCs/>
          <w:sz w:val="24"/>
          <w:szCs w:val="24"/>
          <w:lang w:val="en-AU"/>
        </w:rPr>
      </w:pPr>
      <w:r w:rsidRPr="0059088F">
        <w:rPr>
          <w:rFonts w:ascii="Arial" w:eastAsia="Times New Roman" w:hAnsi="Arial" w:cs="Arial"/>
          <w:bCs/>
          <w:sz w:val="24"/>
          <w:szCs w:val="24"/>
          <w:lang w:val="en-AU"/>
        </w:rPr>
        <w:t>Appointing</w:t>
      </w:r>
      <w:r w:rsidR="00273566">
        <w:rPr>
          <w:rFonts w:ascii="Arial" w:eastAsia="Times New Roman" w:hAnsi="Arial" w:cs="Arial"/>
          <w:bCs/>
          <w:sz w:val="24"/>
          <w:szCs w:val="24"/>
          <w:lang w:val="en-AU"/>
        </w:rPr>
        <w:t>; and</w:t>
      </w:r>
    </w:p>
    <w:p w14:paraId="25F9B3A4" w14:textId="77777777" w:rsidR="005A6759" w:rsidRPr="0059088F" w:rsidRDefault="005A6759" w:rsidP="005A6759">
      <w:pPr>
        <w:pStyle w:val="ListParagraph"/>
        <w:numPr>
          <w:ilvl w:val="0"/>
          <w:numId w:val="4"/>
        </w:numPr>
        <w:spacing w:after="0" w:line="240" w:lineRule="auto"/>
        <w:contextualSpacing w:val="0"/>
        <w:rPr>
          <w:rFonts w:ascii="Arial" w:eastAsia="Times New Roman" w:hAnsi="Arial" w:cs="Arial"/>
          <w:bCs/>
          <w:sz w:val="24"/>
          <w:szCs w:val="24"/>
          <w:lang w:val="en-AU"/>
        </w:rPr>
      </w:pPr>
      <w:r w:rsidRPr="0059088F">
        <w:rPr>
          <w:rFonts w:ascii="Arial" w:eastAsia="Times New Roman" w:hAnsi="Arial" w:cs="Arial"/>
          <w:bCs/>
          <w:sz w:val="24"/>
          <w:szCs w:val="24"/>
          <w:lang w:val="en-AU"/>
        </w:rPr>
        <w:t>Monitoring</w:t>
      </w:r>
    </w:p>
    <w:p w14:paraId="515B8A95" w14:textId="77777777" w:rsidR="00A349B5" w:rsidRDefault="00A349B5" w:rsidP="00A349B5">
      <w:pPr>
        <w:spacing w:after="0"/>
        <w:rPr>
          <w:rFonts w:ascii="Arial" w:eastAsia="Times New Roman" w:hAnsi="Arial" w:cs="Arial"/>
          <w:bCs/>
          <w:sz w:val="24"/>
          <w:szCs w:val="24"/>
          <w:lang w:val="en-AU"/>
        </w:rPr>
      </w:pPr>
    </w:p>
    <w:p w14:paraId="1E58F116" w14:textId="0E0783E4" w:rsidR="008E346C" w:rsidRPr="0059088F" w:rsidRDefault="005A6759" w:rsidP="008E346C">
      <w:pPr>
        <w:rPr>
          <w:rFonts w:ascii="Arial" w:eastAsia="Times New Roman" w:hAnsi="Arial" w:cs="Arial"/>
          <w:bCs/>
          <w:sz w:val="24"/>
          <w:szCs w:val="24"/>
          <w:lang w:val="en-AU"/>
        </w:rPr>
      </w:pPr>
      <w:r w:rsidRPr="0059088F">
        <w:rPr>
          <w:rFonts w:ascii="Arial" w:eastAsia="Times New Roman" w:hAnsi="Arial" w:cs="Arial"/>
          <w:bCs/>
          <w:sz w:val="24"/>
          <w:szCs w:val="24"/>
          <w:lang w:val="en-AU"/>
        </w:rPr>
        <w:t>Of External Service Providers (subcontractors</w:t>
      </w:r>
      <w:r w:rsidR="0059088F">
        <w:rPr>
          <w:rFonts w:ascii="Arial" w:eastAsia="Times New Roman" w:hAnsi="Arial" w:cs="Arial"/>
          <w:bCs/>
          <w:sz w:val="24"/>
          <w:szCs w:val="24"/>
          <w:lang w:val="en-AU"/>
        </w:rPr>
        <w:t xml:space="preserve"> – including subcontracting of tests, where the IECEx TCD permits this</w:t>
      </w:r>
      <w:r w:rsidRPr="0059088F">
        <w:rPr>
          <w:rFonts w:ascii="Arial" w:eastAsia="Times New Roman" w:hAnsi="Arial" w:cs="Arial"/>
          <w:bCs/>
          <w:sz w:val="24"/>
          <w:szCs w:val="24"/>
          <w:lang w:val="en-AU"/>
        </w:rPr>
        <w:t>)</w:t>
      </w:r>
      <w:r w:rsidR="008E346C" w:rsidRPr="0059088F">
        <w:rPr>
          <w:rFonts w:ascii="Arial" w:eastAsia="Times New Roman" w:hAnsi="Arial" w:cs="Arial"/>
          <w:bCs/>
          <w:sz w:val="24"/>
          <w:szCs w:val="24"/>
          <w:lang w:val="en-AU"/>
        </w:rPr>
        <w:t xml:space="preserve"> when using such</w:t>
      </w:r>
      <w:r w:rsidRPr="0059088F">
        <w:rPr>
          <w:rFonts w:ascii="Arial" w:eastAsia="Times New Roman" w:hAnsi="Arial" w:cs="Arial"/>
          <w:bCs/>
          <w:sz w:val="24"/>
          <w:szCs w:val="24"/>
          <w:lang w:val="en-AU"/>
        </w:rPr>
        <w:t>.</w:t>
      </w:r>
    </w:p>
    <w:p w14:paraId="7730B2DF" w14:textId="77777777" w:rsidR="008E346C" w:rsidRDefault="008E346C" w:rsidP="008E346C"/>
    <w:p w14:paraId="47E608BD" w14:textId="498F5DCD" w:rsidR="008E346C" w:rsidRPr="008E346C" w:rsidRDefault="008E346C" w:rsidP="008E346C">
      <w:pPr>
        <w:pStyle w:val="ListParagraph"/>
        <w:numPr>
          <w:ilvl w:val="0"/>
          <w:numId w:val="2"/>
        </w:numPr>
        <w:rPr>
          <w:rFonts w:ascii="Arial" w:eastAsia="Times New Roman" w:hAnsi="Arial" w:cs="Arial"/>
          <w:b/>
          <w:sz w:val="24"/>
          <w:szCs w:val="24"/>
          <w:lang w:val="en-AU"/>
        </w:rPr>
      </w:pPr>
      <w:r w:rsidRPr="008E346C">
        <w:rPr>
          <w:rFonts w:ascii="Arial" w:eastAsia="Times New Roman" w:hAnsi="Arial" w:cs="Arial"/>
          <w:b/>
          <w:sz w:val="24"/>
          <w:szCs w:val="24"/>
          <w:lang w:val="en-AU"/>
        </w:rPr>
        <w:t>I</w:t>
      </w:r>
      <w:r>
        <w:rPr>
          <w:rFonts w:ascii="Arial" w:eastAsia="Times New Roman" w:hAnsi="Arial" w:cs="Arial"/>
          <w:b/>
          <w:sz w:val="24"/>
          <w:szCs w:val="24"/>
          <w:lang w:val="en-AU"/>
        </w:rPr>
        <w:t>ECEx requirements concerning IECEx Testing Laboratories (ExTLs)</w:t>
      </w:r>
    </w:p>
    <w:p w14:paraId="0FF51E94" w14:textId="03458B68" w:rsidR="00D560E2" w:rsidRDefault="00D560E2" w:rsidP="00D560E2">
      <w:pPr>
        <w:pStyle w:val="Default"/>
        <w:rPr>
          <w:rFonts w:ascii="Arial" w:eastAsia="Times New Roman" w:hAnsi="Arial" w:cs="Arial"/>
          <w:bCs/>
          <w:color w:val="auto"/>
        </w:rPr>
      </w:pPr>
      <w:r w:rsidRPr="00D560E2">
        <w:rPr>
          <w:rFonts w:ascii="Arial" w:eastAsia="Times New Roman" w:hAnsi="Arial" w:cs="Arial"/>
          <w:bCs/>
          <w:color w:val="auto"/>
        </w:rPr>
        <w:t xml:space="preserve">IECEx 02 </w:t>
      </w:r>
      <w:r w:rsidRPr="00D560E2">
        <w:rPr>
          <w:rFonts w:ascii="Arial" w:eastAsia="Times New Roman" w:hAnsi="Arial" w:cs="Arial"/>
          <w:bCs/>
          <w:i/>
          <w:iCs/>
          <w:color w:val="auto"/>
        </w:rPr>
        <w:t>IEC System for Certification to Standards relating to Equipment for use in Explosive Atmospheres (IECEx System) Rules of Procedure</w:t>
      </w:r>
      <w:r w:rsidRPr="00D560E2">
        <w:rPr>
          <w:rFonts w:ascii="Arial" w:eastAsia="Times New Roman" w:hAnsi="Arial" w:cs="Arial"/>
          <w:bCs/>
          <w:color w:val="auto"/>
        </w:rPr>
        <w:t xml:space="preserve"> Clause 11.2 </w:t>
      </w:r>
      <w:r>
        <w:rPr>
          <w:rFonts w:ascii="Arial" w:eastAsia="Times New Roman" w:hAnsi="Arial" w:cs="Arial"/>
          <w:bCs/>
          <w:color w:val="auto"/>
        </w:rPr>
        <w:t xml:space="preserve">and subclauses details the requirements of Organisations seeking acceptance as an ExTL.  In particular, </w:t>
      </w:r>
      <w:r w:rsidR="001161B5">
        <w:rPr>
          <w:rFonts w:ascii="Arial" w:eastAsia="Times New Roman" w:hAnsi="Arial" w:cs="Arial"/>
          <w:bCs/>
          <w:color w:val="auto"/>
        </w:rPr>
        <w:t xml:space="preserve">the </w:t>
      </w:r>
      <w:r>
        <w:rPr>
          <w:rFonts w:ascii="Arial" w:eastAsia="Times New Roman" w:hAnsi="Arial" w:cs="Arial"/>
          <w:bCs/>
          <w:color w:val="auto"/>
        </w:rPr>
        <w:t>4</w:t>
      </w:r>
      <w:r w:rsidRPr="00D560E2">
        <w:rPr>
          <w:rFonts w:ascii="Arial" w:eastAsia="Times New Roman" w:hAnsi="Arial" w:cs="Arial"/>
          <w:bCs/>
          <w:color w:val="auto"/>
          <w:vertAlign w:val="superscript"/>
        </w:rPr>
        <w:t>th</w:t>
      </w:r>
      <w:r>
        <w:rPr>
          <w:rFonts w:ascii="Arial" w:eastAsia="Times New Roman" w:hAnsi="Arial" w:cs="Arial"/>
          <w:bCs/>
          <w:color w:val="auto"/>
        </w:rPr>
        <w:t xml:space="preserve"> Bullet of subclause 11.2.1 includes the following requirement</w:t>
      </w:r>
    </w:p>
    <w:p w14:paraId="426D151D" w14:textId="6DCFC0F0" w:rsidR="004E2C1D" w:rsidRDefault="004E2C1D" w:rsidP="00D560E2">
      <w:pPr>
        <w:pStyle w:val="Default"/>
        <w:rPr>
          <w:rFonts w:ascii="Arial" w:eastAsia="Times New Roman" w:hAnsi="Arial" w:cs="Arial"/>
          <w:bCs/>
          <w:color w:val="auto"/>
        </w:rPr>
      </w:pPr>
    </w:p>
    <w:p w14:paraId="5629BB5C" w14:textId="77777777" w:rsidR="004E2C1D" w:rsidRDefault="004E2C1D" w:rsidP="00D560E2">
      <w:pPr>
        <w:pStyle w:val="Default"/>
        <w:rPr>
          <w:rFonts w:ascii="Arial" w:eastAsia="Times New Roman" w:hAnsi="Arial" w:cs="Arial"/>
          <w:bCs/>
          <w:color w:val="auto"/>
        </w:rPr>
      </w:pPr>
    </w:p>
    <w:p w14:paraId="3517492D" w14:textId="595F1804" w:rsidR="00D560E2" w:rsidRDefault="00D560E2" w:rsidP="00D560E2">
      <w:pPr>
        <w:pStyle w:val="Default"/>
        <w:rPr>
          <w:rFonts w:ascii="Arial" w:eastAsia="Times New Roman" w:hAnsi="Arial" w:cs="Arial"/>
          <w:bCs/>
          <w:color w:val="auto"/>
        </w:rPr>
      </w:pPr>
    </w:p>
    <w:p w14:paraId="1585C6A7" w14:textId="27AEAE67" w:rsidR="00D560E2" w:rsidRPr="008B3447" w:rsidRDefault="00D560E2" w:rsidP="00D874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70C0"/>
          <w:sz w:val="20"/>
          <w:szCs w:val="20"/>
          <w:lang w:val="en-AU" w:eastAsia="en-AU"/>
        </w:rPr>
      </w:pPr>
      <w:r w:rsidRPr="008B3447">
        <w:rPr>
          <w:rFonts w:ascii="Arial" w:hAnsi="Arial" w:cs="Arial"/>
          <w:b/>
          <w:bCs/>
          <w:color w:val="0070C0"/>
          <w:sz w:val="20"/>
          <w:szCs w:val="20"/>
          <w:lang w:val="en-AU" w:eastAsia="en-AU"/>
        </w:rPr>
        <w:t xml:space="preserve">IECEx 02 Ed 7.1 Clause 11.2.1 4th Bullet extract </w:t>
      </w:r>
    </w:p>
    <w:p w14:paraId="4822AFA3" w14:textId="5E572BA9" w:rsidR="00D560E2" w:rsidRPr="008B3447" w:rsidRDefault="00D874B7" w:rsidP="00D874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70C0"/>
          <w:sz w:val="20"/>
          <w:szCs w:val="20"/>
          <w:lang w:val="en-AU" w:eastAsia="en-AU"/>
        </w:rPr>
      </w:pPr>
      <w:r w:rsidRPr="008B3447">
        <w:rPr>
          <w:rFonts w:ascii="Arial" w:hAnsi="Arial" w:cs="Arial"/>
          <w:color w:val="0070C0"/>
          <w:sz w:val="20"/>
          <w:szCs w:val="20"/>
          <w:lang w:val="en-AU" w:eastAsia="en-AU"/>
        </w:rPr>
        <w:t>..........</w:t>
      </w:r>
      <w:r w:rsidR="00D560E2" w:rsidRPr="008B3447">
        <w:rPr>
          <w:rFonts w:ascii="Arial" w:hAnsi="Arial" w:cs="Arial"/>
          <w:color w:val="0070C0"/>
          <w:sz w:val="20"/>
          <w:szCs w:val="20"/>
          <w:lang w:val="en-AU" w:eastAsia="en-AU"/>
        </w:rPr>
        <w:t xml:space="preserve">The general competence, efficiency, experience, familiarity with the relevant standards and the types of protection included in those standards as well as compliance with </w:t>
      </w:r>
      <w:r w:rsidR="00D560E2" w:rsidRPr="008B3447">
        <w:rPr>
          <w:rFonts w:ascii="Arial" w:hAnsi="Arial" w:cs="Arial"/>
          <w:color w:val="0070C0"/>
          <w:sz w:val="20"/>
          <w:szCs w:val="20"/>
          <w:u w:val="single"/>
          <w:lang w:val="en-AU" w:eastAsia="en-AU"/>
        </w:rPr>
        <w:t>ISO/IEC 17025</w:t>
      </w:r>
      <w:r w:rsidR="00D560E2" w:rsidRPr="008B3447">
        <w:rPr>
          <w:rFonts w:ascii="Arial" w:hAnsi="Arial" w:cs="Arial"/>
          <w:color w:val="0070C0"/>
          <w:sz w:val="20"/>
          <w:szCs w:val="20"/>
          <w:lang w:val="en-AU" w:eastAsia="en-AU"/>
        </w:rPr>
        <w:t xml:space="preserve"> and the </w:t>
      </w:r>
      <w:r w:rsidR="00D560E2" w:rsidRPr="008B3447">
        <w:rPr>
          <w:rFonts w:ascii="Arial" w:hAnsi="Arial" w:cs="Arial"/>
          <w:color w:val="0070C0"/>
          <w:sz w:val="20"/>
          <w:szCs w:val="20"/>
          <w:u w:val="single"/>
          <w:lang w:val="en-AU" w:eastAsia="en-AU"/>
        </w:rPr>
        <w:t>IECEx Technical Guidance Documents</w:t>
      </w:r>
      <w:r w:rsidR="00D560E2" w:rsidRPr="008B3447">
        <w:rPr>
          <w:rFonts w:ascii="Arial" w:hAnsi="Arial" w:cs="Arial"/>
          <w:color w:val="0070C0"/>
          <w:sz w:val="20"/>
          <w:szCs w:val="20"/>
          <w:lang w:val="en-AU" w:eastAsia="en-AU"/>
        </w:rPr>
        <w:t xml:space="preserve"> shall be assessed.</w:t>
      </w:r>
      <w:r w:rsidRPr="008B3447">
        <w:rPr>
          <w:rFonts w:ascii="Arial" w:hAnsi="Arial" w:cs="Arial"/>
          <w:color w:val="0070C0"/>
          <w:sz w:val="20"/>
          <w:szCs w:val="20"/>
          <w:lang w:val="en-AU" w:eastAsia="en-AU"/>
        </w:rPr>
        <w:t>.....</w:t>
      </w:r>
      <w:r w:rsidR="00D560E2" w:rsidRPr="008B3447">
        <w:rPr>
          <w:rFonts w:ascii="Arial" w:hAnsi="Arial" w:cs="Arial"/>
          <w:color w:val="0070C0"/>
          <w:sz w:val="20"/>
          <w:szCs w:val="20"/>
          <w:lang w:val="en-AU" w:eastAsia="en-AU"/>
        </w:rPr>
        <w:t xml:space="preserve"> </w:t>
      </w:r>
    </w:p>
    <w:p w14:paraId="30293509" w14:textId="37E45D1B" w:rsidR="00D560E2" w:rsidRDefault="00D560E2" w:rsidP="00D560E2">
      <w:pPr>
        <w:pStyle w:val="Default"/>
        <w:rPr>
          <w:rFonts w:ascii="Arial" w:eastAsia="Times New Roman" w:hAnsi="Arial" w:cs="Arial"/>
          <w:bCs/>
          <w:color w:val="auto"/>
        </w:rPr>
      </w:pPr>
    </w:p>
    <w:p w14:paraId="30D74E83" w14:textId="1721066B" w:rsidR="006B6EC2" w:rsidRDefault="00D874B7" w:rsidP="00D560E2">
      <w:pPr>
        <w:pStyle w:val="Default"/>
        <w:rPr>
          <w:rFonts w:ascii="Arial" w:eastAsia="Times New Roman" w:hAnsi="Arial" w:cs="Arial"/>
          <w:bCs/>
          <w:color w:val="auto"/>
        </w:rPr>
      </w:pPr>
      <w:r>
        <w:rPr>
          <w:rFonts w:ascii="Arial" w:eastAsia="Times New Roman" w:hAnsi="Arial" w:cs="Arial"/>
          <w:bCs/>
          <w:color w:val="auto"/>
        </w:rPr>
        <w:t xml:space="preserve">In addition, subclause 11.2.2 of IECEx 02 “Application” requires candidate ExTLs to submit information contained in Annex B and C to be provided to the IECEx Secretariat when making application to join the IECEx 02 Certified equipment scheme.  Included in the information </w:t>
      </w:r>
      <w:r w:rsidR="006B6EC2">
        <w:rPr>
          <w:rFonts w:ascii="Arial" w:eastAsia="Times New Roman" w:hAnsi="Arial" w:cs="Arial"/>
          <w:bCs/>
          <w:color w:val="auto"/>
        </w:rPr>
        <w:t xml:space="preserve">to be </w:t>
      </w:r>
      <w:r>
        <w:rPr>
          <w:rFonts w:ascii="Arial" w:eastAsia="Times New Roman" w:hAnsi="Arial" w:cs="Arial"/>
          <w:bCs/>
          <w:color w:val="auto"/>
        </w:rPr>
        <w:t xml:space="preserve">provided </w:t>
      </w:r>
      <w:r w:rsidR="006B6EC2">
        <w:rPr>
          <w:rFonts w:ascii="Arial" w:eastAsia="Times New Roman" w:hAnsi="Arial" w:cs="Arial"/>
          <w:bCs/>
          <w:color w:val="auto"/>
        </w:rPr>
        <w:t>by candidate ExTLs is information concerning Subcontracting of tests, re item C.6.2 of IECEx 02, extracted below:</w:t>
      </w:r>
    </w:p>
    <w:p w14:paraId="43EBA761" w14:textId="09B3FEE4" w:rsidR="006B6EC2" w:rsidRDefault="006B6EC2" w:rsidP="00D560E2">
      <w:pPr>
        <w:pStyle w:val="Default"/>
        <w:rPr>
          <w:rFonts w:ascii="Arial" w:eastAsia="Times New Roman" w:hAnsi="Arial" w:cs="Arial"/>
          <w:bCs/>
          <w:color w:val="auto"/>
        </w:rPr>
      </w:pPr>
    </w:p>
    <w:p w14:paraId="5B7791BC" w14:textId="77777777" w:rsidR="006B6EC2" w:rsidRPr="008B3447" w:rsidRDefault="006B6EC2" w:rsidP="006B6E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70C0"/>
          <w:sz w:val="20"/>
          <w:szCs w:val="20"/>
          <w:lang w:val="en-AU" w:eastAsia="en-AU"/>
        </w:rPr>
      </w:pPr>
      <w:r w:rsidRPr="008B3447">
        <w:rPr>
          <w:rFonts w:ascii="Arial" w:hAnsi="Arial" w:cs="Arial"/>
          <w:b/>
          <w:bCs/>
          <w:color w:val="0070C0"/>
          <w:sz w:val="20"/>
          <w:szCs w:val="20"/>
          <w:lang w:val="en-AU" w:eastAsia="en-AU"/>
        </w:rPr>
        <w:t xml:space="preserve">C.6.3 Subcontract work </w:t>
      </w:r>
    </w:p>
    <w:p w14:paraId="400A04C2" w14:textId="151EBAA2" w:rsidR="006B6EC2" w:rsidRPr="008B3447" w:rsidRDefault="006B6EC2" w:rsidP="006B6EC2">
      <w:pPr>
        <w:pStyle w:val="Default"/>
        <w:pBdr>
          <w:top w:val="single" w:sz="4" w:space="1" w:color="auto"/>
          <w:left w:val="single" w:sz="4" w:space="4" w:color="auto"/>
          <w:bottom w:val="single" w:sz="4" w:space="1" w:color="auto"/>
          <w:right w:val="single" w:sz="4" w:space="4" w:color="auto"/>
        </w:pBdr>
        <w:rPr>
          <w:rFonts w:ascii="Arial" w:hAnsi="Arial" w:cs="Arial"/>
          <w:color w:val="0070C0"/>
          <w:sz w:val="20"/>
          <w:szCs w:val="20"/>
          <w:lang w:eastAsia="en-AU"/>
        </w:rPr>
      </w:pPr>
      <w:r w:rsidRPr="008B3447">
        <w:rPr>
          <w:rFonts w:ascii="Arial" w:hAnsi="Arial" w:cs="Arial"/>
          <w:color w:val="0070C0"/>
          <w:sz w:val="20"/>
          <w:szCs w:val="20"/>
          <w:lang w:eastAsia="en-AU"/>
        </w:rPr>
        <w:t>What type of testing is to be subcontracted in respect of the recognition being sought?</w:t>
      </w:r>
    </w:p>
    <w:p w14:paraId="6CEBDC97" w14:textId="06343AD6" w:rsidR="006B6EC2" w:rsidRDefault="006B6EC2" w:rsidP="00D560E2">
      <w:pPr>
        <w:pStyle w:val="Default"/>
        <w:rPr>
          <w:rFonts w:ascii="Arial" w:eastAsia="Times New Roman" w:hAnsi="Arial" w:cs="Arial"/>
          <w:bCs/>
          <w:color w:val="auto"/>
        </w:rPr>
      </w:pPr>
    </w:p>
    <w:p w14:paraId="115D3813" w14:textId="379EDBEF" w:rsidR="00CB74E6" w:rsidRDefault="006B6EC2" w:rsidP="00D560E2">
      <w:pPr>
        <w:pStyle w:val="Default"/>
        <w:rPr>
          <w:rFonts w:ascii="Arial" w:eastAsia="Times New Roman" w:hAnsi="Arial" w:cs="Arial"/>
          <w:bCs/>
          <w:color w:val="auto"/>
        </w:rPr>
      </w:pPr>
      <w:r>
        <w:rPr>
          <w:rFonts w:ascii="Arial" w:eastAsia="Times New Roman" w:hAnsi="Arial" w:cs="Arial"/>
          <w:bCs/>
          <w:color w:val="auto"/>
        </w:rPr>
        <w:t>This information assists the IECEx peer Assessment Teams to prepare for the IECEx assessment of candidate ExTLs</w:t>
      </w:r>
      <w:r w:rsidR="00CB74E6">
        <w:rPr>
          <w:rFonts w:ascii="Arial" w:eastAsia="Times New Roman" w:hAnsi="Arial" w:cs="Arial"/>
          <w:bCs/>
          <w:color w:val="auto"/>
        </w:rPr>
        <w:t xml:space="preserve">, whom, as part of the IECEx peer assessment will check and confirm </w:t>
      </w:r>
      <w:r w:rsidR="007C5A96">
        <w:rPr>
          <w:rFonts w:ascii="Arial" w:eastAsia="Times New Roman" w:hAnsi="Arial" w:cs="Arial"/>
          <w:bCs/>
          <w:color w:val="auto"/>
        </w:rPr>
        <w:t xml:space="preserve">that the candidate ExTL have procedures and systems to address </w:t>
      </w:r>
      <w:r w:rsidR="00CB74E6">
        <w:rPr>
          <w:rFonts w:ascii="Arial" w:eastAsia="Times New Roman" w:hAnsi="Arial" w:cs="Arial"/>
          <w:bCs/>
          <w:color w:val="auto"/>
        </w:rPr>
        <w:t>a number of matters such as:</w:t>
      </w:r>
    </w:p>
    <w:p w14:paraId="7B098F4B" w14:textId="77777777" w:rsidR="00CB74E6" w:rsidRDefault="00CB74E6" w:rsidP="00D560E2">
      <w:pPr>
        <w:pStyle w:val="Default"/>
        <w:rPr>
          <w:rFonts w:ascii="Arial" w:eastAsia="Times New Roman" w:hAnsi="Arial" w:cs="Arial"/>
          <w:bCs/>
          <w:color w:val="auto"/>
        </w:rPr>
      </w:pPr>
    </w:p>
    <w:p w14:paraId="38D151C9" w14:textId="2788F1FE" w:rsidR="00CB74E6" w:rsidRDefault="00CB74E6" w:rsidP="00CB74E6">
      <w:pPr>
        <w:pStyle w:val="Default"/>
        <w:numPr>
          <w:ilvl w:val="0"/>
          <w:numId w:val="6"/>
        </w:numPr>
        <w:rPr>
          <w:rFonts w:ascii="Arial" w:eastAsia="Times New Roman" w:hAnsi="Arial" w:cs="Arial"/>
          <w:bCs/>
          <w:color w:val="auto"/>
        </w:rPr>
      </w:pPr>
      <w:r>
        <w:rPr>
          <w:rFonts w:ascii="Arial" w:eastAsia="Times New Roman" w:hAnsi="Arial" w:cs="Arial"/>
          <w:bCs/>
          <w:color w:val="auto"/>
        </w:rPr>
        <w:t xml:space="preserve">Whether the subcontracting of tests </w:t>
      </w:r>
      <w:r w:rsidR="008806BE">
        <w:rPr>
          <w:rFonts w:ascii="Arial" w:eastAsia="Times New Roman" w:hAnsi="Arial" w:cs="Arial"/>
          <w:bCs/>
          <w:color w:val="auto"/>
        </w:rPr>
        <w:t>is</w:t>
      </w:r>
      <w:r>
        <w:rPr>
          <w:rFonts w:ascii="Arial" w:eastAsia="Times New Roman" w:hAnsi="Arial" w:cs="Arial"/>
          <w:bCs/>
          <w:color w:val="auto"/>
        </w:rPr>
        <w:t xml:space="preserve"> in line with the provisions of the IECEx TCDs; </w:t>
      </w:r>
    </w:p>
    <w:p w14:paraId="609BE213" w14:textId="573CD6C8" w:rsidR="00CB74E6" w:rsidRDefault="00CB74E6" w:rsidP="00CB74E6">
      <w:pPr>
        <w:pStyle w:val="Default"/>
        <w:numPr>
          <w:ilvl w:val="0"/>
          <w:numId w:val="6"/>
        </w:numPr>
        <w:rPr>
          <w:rFonts w:ascii="Arial" w:eastAsia="Times New Roman" w:hAnsi="Arial" w:cs="Arial"/>
          <w:bCs/>
          <w:color w:val="auto"/>
        </w:rPr>
      </w:pPr>
      <w:r>
        <w:rPr>
          <w:rFonts w:ascii="Arial" w:eastAsia="Times New Roman" w:hAnsi="Arial" w:cs="Arial"/>
          <w:bCs/>
          <w:color w:val="auto"/>
        </w:rPr>
        <w:t>The systems and procedures used by the ExTL for evaluating subcontracted laboratories align with requirements for IECEx requirements associated with</w:t>
      </w:r>
    </w:p>
    <w:p w14:paraId="5408955D" w14:textId="2B62B47C" w:rsidR="00CB74E6" w:rsidRDefault="005A37F5" w:rsidP="00CB74E6">
      <w:pPr>
        <w:pStyle w:val="Default"/>
        <w:numPr>
          <w:ilvl w:val="1"/>
          <w:numId w:val="6"/>
        </w:numPr>
        <w:rPr>
          <w:rFonts w:ascii="Arial" w:eastAsia="Times New Roman" w:hAnsi="Arial" w:cs="Arial"/>
          <w:bCs/>
          <w:color w:val="auto"/>
        </w:rPr>
      </w:pPr>
      <w:r>
        <w:rPr>
          <w:rFonts w:ascii="Arial" w:eastAsia="Times New Roman" w:hAnsi="Arial" w:cs="Arial"/>
          <w:bCs/>
          <w:color w:val="auto"/>
        </w:rPr>
        <w:t>The subcontracted test labs capability for performing the tests;</w:t>
      </w:r>
    </w:p>
    <w:p w14:paraId="04B2CDB8" w14:textId="4309B2D7" w:rsidR="005A37F5" w:rsidRDefault="005A37F5" w:rsidP="00CB74E6">
      <w:pPr>
        <w:pStyle w:val="Default"/>
        <w:numPr>
          <w:ilvl w:val="1"/>
          <w:numId w:val="6"/>
        </w:numPr>
        <w:rPr>
          <w:rFonts w:ascii="Arial" w:eastAsia="Times New Roman" w:hAnsi="Arial" w:cs="Arial"/>
          <w:bCs/>
          <w:color w:val="auto"/>
        </w:rPr>
      </w:pPr>
      <w:r>
        <w:rPr>
          <w:rFonts w:ascii="Arial" w:eastAsia="Times New Roman" w:hAnsi="Arial" w:cs="Arial"/>
          <w:bCs/>
          <w:color w:val="auto"/>
        </w:rPr>
        <w:t>Whether or not the subcontracted test lab holds accreditation by an ILAC member accreditation body</w:t>
      </w:r>
      <w:r w:rsidR="008B3447">
        <w:rPr>
          <w:rFonts w:ascii="Arial" w:eastAsia="Times New Roman" w:hAnsi="Arial" w:cs="Arial"/>
          <w:bCs/>
          <w:color w:val="auto"/>
        </w:rPr>
        <w:t xml:space="preserve">, or is an Accepted </w:t>
      </w:r>
      <w:proofErr w:type="spellStart"/>
      <w:r w:rsidR="008B3447">
        <w:rPr>
          <w:rFonts w:ascii="Arial" w:eastAsia="Times New Roman" w:hAnsi="Arial" w:cs="Arial"/>
          <w:bCs/>
          <w:color w:val="auto"/>
        </w:rPr>
        <w:t>ExTL</w:t>
      </w:r>
      <w:proofErr w:type="spellEnd"/>
      <w:r w:rsidR="008B3447">
        <w:rPr>
          <w:rFonts w:ascii="Arial" w:eastAsia="Times New Roman" w:hAnsi="Arial" w:cs="Arial"/>
          <w:bCs/>
          <w:color w:val="auto"/>
        </w:rPr>
        <w:t xml:space="preserve"> within IECEx</w:t>
      </w:r>
      <w:r>
        <w:rPr>
          <w:rFonts w:ascii="Arial" w:eastAsia="Times New Roman" w:hAnsi="Arial" w:cs="Arial"/>
          <w:bCs/>
          <w:color w:val="auto"/>
        </w:rPr>
        <w:t>;</w:t>
      </w:r>
    </w:p>
    <w:p w14:paraId="1900DDE9" w14:textId="5BDB1CB4" w:rsidR="005A37F5" w:rsidRDefault="005A37F5" w:rsidP="00CB74E6">
      <w:pPr>
        <w:pStyle w:val="Default"/>
        <w:numPr>
          <w:ilvl w:val="1"/>
          <w:numId w:val="6"/>
        </w:numPr>
        <w:rPr>
          <w:rFonts w:ascii="Arial" w:eastAsia="Times New Roman" w:hAnsi="Arial" w:cs="Arial"/>
          <w:bCs/>
          <w:color w:val="auto"/>
        </w:rPr>
      </w:pPr>
      <w:r>
        <w:rPr>
          <w:rFonts w:ascii="Arial" w:eastAsia="Times New Roman" w:hAnsi="Arial" w:cs="Arial"/>
          <w:bCs/>
          <w:color w:val="auto"/>
        </w:rPr>
        <w:t>If accredited, are the tests covered by the scope of accreditation and is accreditation current</w:t>
      </w:r>
      <w:r w:rsidR="007C5A96">
        <w:rPr>
          <w:rFonts w:ascii="Arial" w:eastAsia="Times New Roman" w:hAnsi="Arial" w:cs="Arial"/>
          <w:bCs/>
          <w:color w:val="auto"/>
        </w:rPr>
        <w:t>;</w:t>
      </w:r>
    </w:p>
    <w:p w14:paraId="5ABA882F" w14:textId="2C79BF3B" w:rsidR="005A37F5" w:rsidRDefault="005A37F5" w:rsidP="00CB74E6">
      <w:pPr>
        <w:pStyle w:val="Default"/>
        <w:numPr>
          <w:ilvl w:val="1"/>
          <w:numId w:val="6"/>
        </w:numPr>
        <w:rPr>
          <w:rFonts w:ascii="Arial" w:eastAsia="Times New Roman" w:hAnsi="Arial" w:cs="Arial"/>
          <w:bCs/>
          <w:color w:val="auto"/>
        </w:rPr>
      </w:pPr>
      <w:r>
        <w:rPr>
          <w:rFonts w:ascii="Arial" w:eastAsia="Times New Roman" w:hAnsi="Arial" w:cs="Arial"/>
          <w:bCs/>
          <w:color w:val="auto"/>
        </w:rPr>
        <w:t>If the test lab is not accredited or the tests are not covered by accreditation, the ExTL must have a procedure for assessing the test lab itself</w:t>
      </w:r>
      <w:r w:rsidR="007C5A96">
        <w:rPr>
          <w:rFonts w:ascii="Arial" w:eastAsia="Times New Roman" w:hAnsi="Arial" w:cs="Arial"/>
          <w:bCs/>
          <w:color w:val="auto"/>
        </w:rPr>
        <w:t>;</w:t>
      </w:r>
    </w:p>
    <w:p w14:paraId="55AA0955" w14:textId="3FFDEC8B" w:rsidR="007C5A96" w:rsidRDefault="007C5A96" w:rsidP="00CB74E6">
      <w:pPr>
        <w:pStyle w:val="Default"/>
        <w:numPr>
          <w:ilvl w:val="1"/>
          <w:numId w:val="6"/>
        </w:numPr>
        <w:rPr>
          <w:rFonts w:ascii="Arial" w:eastAsia="Times New Roman" w:hAnsi="Arial" w:cs="Arial"/>
          <w:bCs/>
          <w:color w:val="auto"/>
        </w:rPr>
      </w:pPr>
      <w:r>
        <w:rPr>
          <w:rFonts w:ascii="Arial" w:eastAsia="Times New Roman" w:hAnsi="Arial" w:cs="Arial"/>
          <w:bCs/>
          <w:color w:val="auto"/>
        </w:rPr>
        <w:t xml:space="preserve">Others </w:t>
      </w:r>
    </w:p>
    <w:p w14:paraId="1894E573" w14:textId="77777777" w:rsidR="005A37F5" w:rsidRDefault="005A37F5" w:rsidP="005A37F5">
      <w:pPr>
        <w:pStyle w:val="Default"/>
        <w:ind w:left="1440"/>
        <w:rPr>
          <w:rFonts w:ascii="Arial" w:eastAsia="Times New Roman" w:hAnsi="Arial" w:cs="Arial"/>
          <w:bCs/>
          <w:color w:val="auto"/>
        </w:rPr>
      </w:pPr>
    </w:p>
    <w:p w14:paraId="1CC1CA8F" w14:textId="3BB474A8" w:rsidR="006B6EC2" w:rsidRDefault="00CB74E6" w:rsidP="00CB74E6">
      <w:pPr>
        <w:pStyle w:val="Default"/>
        <w:numPr>
          <w:ilvl w:val="0"/>
          <w:numId w:val="6"/>
        </w:numPr>
        <w:rPr>
          <w:rFonts w:ascii="Arial" w:eastAsia="Times New Roman" w:hAnsi="Arial" w:cs="Arial"/>
          <w:bCs/>
          <w:color w:val="auto"/>
        </w:rPr>
      </w:pPr>
      <w:r>
        <w:rPr>
          <w:rFonts w:ascii="Arial" w:eastAsia="Times New Roman" w:hAnsi="Arial" w:cs="Arial"/>
          <w:bCs/>
          <w:color w:val="auto"/>
        </w:rPr>
        <w:t xml:space="preserve"> </w:t>
      </w:r>
      <w:r w:rsidR="005A37F5">
        <w:rPr>
          <w:rFonts w:ascii="Arial" w:eastAsia="Times New Roman" w:hAnsi="Arial" w:cs="Arial"/>
          <w:bCs/>
          <w:color w:val="auto"/>
        </w:rPr>
        <w:t>The systems and procedures used by the ExTL for monitoring subcontracted laboratories align with requirements for IECEx requirements associated with</w:t>
      </w:r>
    </w:p>
    <w:p w14:paraId="14EC319E" w14:textId="37192199" w:rsidR="005A37F5" w:rsidRDefault="005A37F5" w:rsidP="005A37F5">
      <w:pPr>
        <w:pStyle w:val="Default"/>
        <w:numPr>
          <w:ilvl w:val="1"/>
          <w:numId w:val="6"/>
        </w:numPr>
        <w:rPr>
          <w:rFonts w:ascii="Arial" w:eastAsia="Times New Roman" w:hAnsi="Arial" w:cs="Arial"/>
          <w:bCs/>
          <w:color w:val="auto"/>
        </w:rPr>
      </w:pPr>
      <w:r>
        <w:rPr>
          <w:rFonts w:ascii="Arial" w:eastAsia="Times New Roman" w:hAnsi="Arial" w:cs="Arial"/>
          <w:bCs/>
          <w:color w:val="auto"/>
        </w:rPr>
        <w:t>On-going checking of status of accreditation</w:t>
      </w:r>
      <w:r w:rsidR="008B3447">
        <w:rPr>
          <w:rFonts w:ascii="Arial" w:eastAsia="Times New Roman" w:hAnsi="Arial" w:cs="Arial"/>
          <w:bCs/>
          <w:color w:val="auto"/>
        </w:rPr>
        <w:t xml:space="preserve"> or IECEx acceptance when using another </w:t>
      </w:r>
      <w:proofErr w:type="spellStart"/>
      <w:r w:rsidR="008B3447">
        <w:rPr>
          <w:rFonts w:ascii="Arial" w:eastAsia="Times New Roman" w:hAnsi="Arial" w:cs="Arial"/>
          <w:bCs/>
          <w:color w:val="auto"/>
        </w:rPr>
        <w:t>ExTL</w:t>
      </w:r>
      <w:proofErr w:type="spellEnd"/>
      <w:r w:rsidR="007C5A96">
        <w:rPr>
          <w:rFonts w:ascii="Arial" w:eastAsia="Times New Roman" w:hAnsi="Arial" w:cs="Arial"/>
          <w:bCs/>
          <w:color w:val="auto"/>
        </w:rPr>
        <w:t>;</w:t>
      </w:r>
    </w:p>
    <w:p w14:paraId="7CA4E36B" w14:textId="2310F030" w:rsidR="007C5A96" w:rsidRDefault="007C5A96" w:rsidP="005A37F5">
      <w:pPr>
        <w:pStyle w:val="Default"/>
        <w:numPr>
          <w:ilvl w:val="1"/>
          <w:numId w:val="6"/>
        </w:numPr>
        <w:rPr>
          <w:rFonts w:ascii="Arial" w:eastAsia="Times New Roman" w:hAnsi="Arial" w:cs="Arial"/>
          <w:bCs/>
          <w:color w:val="auto"/>
        </w:rPr>
      </w:pPr>
      <w:r>
        <w:rPr>
          <w:rFonts w:ascii="Arial" w:eastAsia="Times New Roman" w:hAnsi="Arial" w:cs="Arial"/>
          <w:bCs/>
          <w:color w:val="auto"/>
        </w:rPr>
        <w:t>On-going assessment by the ExTL itself where the subcontracted test lab does not hold accreditation by an ILAC member accreditation body;</w:t>
      </w:r>
    </w:p>
    <w:p w14:paraId="0E5EF616" w14:textId="4356F5BF" w:rsidR="007C5A96" w:rsidRDefault="007C5A96" w:rsidP="005A37F5">
      <w:pPr>
        <w:pStyle w:val="Default"/>
        <w:numPr>
          <w:ilvl w:val="1"/>
          <w:numId w:val="6"/>
        </w:numPr>
        <w:rPr>
          <w:rFonts w:ascii="Arial" w:eastAsia="Times New Roman" w:hAnsi="Arial" w:cs="Arial"/>
          <w:bCs/>
          <w:color w:val="auto"/>
        </w:rPr>
      </w:pPr>
      <w:r>
        <w:rPr>
          <w:rFonts w:ascii="Arial" w:eastAsia="Times New Roman" w:hAnsi="Arial" w:cs="Arial"/>
          <w:bCs/>
          <w:color w:val="auto"/>
        </w:rPr>
        <w:t>Others</w:t>
      </w:r>
    </w:p>
    <w:p w14:paraId="0807324A" w14:textId="77777777" w:rsidR="006B6EC2" w:rsidRDefault="006B6EC2" w:rsidP="00D560E2">
      <w:pPr>
        <w:pStyle w:val="Default"/>
        <w:rPr>
          <w:rFonts w:ascii="Arial" w:eastAsia="Times New Roman" w:hAnsi="Arial" w:cs="Arial"/>
          <w:bCs/>
          <w:color w:val="auto"/>
        </w:rPr>
      </w:pPr>
    </w:p>
    <w:p w14:paraId="0AAA7B96" w14:textId="1A05A226" w:rsidR="005A6759" w:rsidRDefault="005A6759" w:rsidP="00D244DE">
      <w:pPr>
        <w:rPr>
          <w:rFonts w:ascii="Arial" w:eastAsia="Times New Roman" w:hAnsi="Arial" w:cs="Arial"/>
          <w:bCs/>
          <w:sz w:val="24"/>
          <w:szCs w:val="24"/>
          <w:lang w:val="en-AU"/>
        </w:rPr>
      </w:pPr>
    </w:p>
    <w:p w14:paraId="652A4A98" w14:textId="227C8B4D" w:rsidR="004E2C1D" w:rsidRDefault="004E2C1D" w:rsidP="00D244DE">
      <w:pPr>
        <w:rPr>
          <w:rFonts w:ascii="Arial" w:eastAsia="Times New Roman" w:hAnsi="Arial" w:cs="Arial"/>
          <w:bCs/>
          <w:sz w:val="24"/>
          <w:szCs w:val="24"/>
          <w:lang w:val="en-AU"/>
        </w:rPr>
      </w:pPr>
    </w:p>
    <w:p w14:paraId="1EF8D9E6" w14:textId="4BCC06A0" w:rsidR="004E2C1D" w:rsidRDefault="004E2C1D" w:rsidP="00D244DE">
      <w:pPr>
        <w:rPr>
          <w:rFonts w:ascii="Arial" w:eastAsia="Times New Roman" w:hAnsi="Arial" w:cs="Arial"/>
          <w:bCs/>
          <w:sz w:val="24"/>
          <w:szCs w:val="24"/>
          <w:lang w:val="en-AU"/>
        </w:rPr>
      </w:pPr>
    </w:p>
    <w:p w14:paraId="04296EA4" w14:textId="5F2AAB88" w:rsidR="007C5A96" w:rsidRPr="008E346C" w:rsidRDefault="007C5A96" w:rsidP="007C5A96">
      <w:pPr>
        <w:pStyle w:val="ListParagraph"/>
        <w:numPr>
          <w:ilvl w:val="0"/>
          <w:numId w:val="2"/>
        </w:numPr>
        <w:rPr>
          <w:rFonts w:ascii="Arial" w:eastAsia="Times New Roman" w:hAnsi="Arial" w:cs="Arial"/>
          <w:b/>
          <w:sz w:val="24"/>
          <w:szCs w:val="24"/>
          <w:lang w:val="en-AU"/>
        </w:rPr>
      </w:pPr>
      <w:r>
        <w:rPr>
          <w:rFonts w:ascii="Arial" w:eastAsia="Times New Roman" w:hAnsi="Arial" w:cs="Arial"/>
          <w:b/>
          <w:sz w:val="24"/>
          <w:szCs w:val="24"/>
          <w:lang w:val="en-AU"/>
        </w:rPr>
        <w:lastRenderedPageBreak/>
        <w:t>Conclusion</w:t>
      </w:r>
    </w:p>
    <w:p w14:paraId="261E9C65" w14:textId="22307593" w:rsidR="002F5152" w:rsidRDefault="007C5A96" w:rsidP="00D244DE">
      <w:pPr>
        <w:rPr>
          <w:rFonts w:ascii="Arial" w:eastAsia="Times New Roman" w:hAnsi="Arial" w:cs="Arial"/>
          <w:bCs/>
          <w:sz w:val="24"/>
          <w:szCs w:val="24"/>
          <w:lang w:val="en-AU"/>
        </w:rPr>
      </w:pPr>
      <w:r>
        <w:rPr>
          <w:rFonts w:ascii="Arial" w:eastAsia="Times New Roman" w:hAnsi="Arial" w:cs="Arial"/>
          <w:bCs/>
          <w:sz w:val="24"/>
          <w:szCs w:val="24"/>
          <w:lang w:val="en-AU"/>
        </w:rPr>
        <w:t>This document does not contain any recommendations, nor propose an</w:t>
      </w:r>
      <w:r w:rsidR="00A349B5">
        <w:rPr>
          <w:rFonts w:ascii="Arial" w:eastAsia="Times New Roman" w:hAnsi="Arial" w:cs="Arial"/>
          <w:bCs/>
          <w:sz w:val="24"/>
          <w:szCs w:val="24"/>
          <w:lang w:val="en-AU"/>
        </w:rPr>
        <w:t>y</w:t>
      </w:r>
      <w:r>
        <w:rPr>
          <w:rFonts w:ascii="Arial" w:eastAsia="Times New Roman" w:hAnsi="Arial" w:cs="Arial"/>
          <w:bCs/>
          <w:sz w:val="24"/>
          <w:szCs w:val="24"/>
          <w:lang w:val="en-AU"/>
        </w:rPr>
        <w:t xml:space="preserve"> change</w:t>
      </w:r>
      <w:r w:rsidR="002F5152">
        <w:rPr>
          <w:rFonts w:ascii="Arial" w:eastAsia="Times New Roman" w:hAnsi="Arial" w:cs="Arial"/>
          <w:bCs/>
          <w:sz w:val="24"/>
          <w:szCs w:val="24"/>
          <w:lang w:val="en-AU"/>
        </w:rPr>
        <w:t>s</w:t>
      </w:r>
      <w:r>
        <w:rPr>
          <w:rFonts w:ascii="Arial" w:eastAsia="Times New Roman" w:hAnsi="Arial" w:cs="Arial"/>
          <w:bCs/>
          <w:sz w:val="24"/>
          <w:szCs w:val="24"/>
          <w:lang w:val="en-AU"/>
        </w:rPr>
        <w:t xml:space="preserve"> to the current IECEx rules but rather is presented </w:t>
      </w:r>
      <w:r w:rsidR="00823010">
        <w:rPr>
          <w:rFonts w:ascii="Arial" w:eastAsia="Times New Roman" w:hAnsi="Arial" w:cs="Arial"/>
          <w:bCs/>
          <w:sz w:val="24"/>
          <w:szCs w:val="24"/>
          <w:lang w:val="en-AU"/>
        </w:rPr>
        <w:t>as a timely reminder for the IECEx community which includes ExTLs and ExCBs</w:t>
      </w:r>
      <w:r w:rsidR="004E2C1D">
        <w:rPr>
          <w:rFonts w:ascii="Arial" w:eastAsia="Times New Roman" w:hAnsi="Arial" w:cs="Arial"/>
          <w:bCs/>
          <w:sz w:val="24"/>
          <w:szCs w:val="24"/>
          <w:lang w:val="en-AU"/>
        </w:rPr>
        <w:t>,</w:t>
      </w:r>
      <w:r w:rsidR="00823010">
        <w:rPr>
          <w:rFonts w:ascii="Arial" w:eastAsia="Times New Roman" w:hAnsi="Arial" w:cs="Arial"/>
          <w:bCs/>
          <w:sz w:val="24"/>
          <w:szCs w:val="24"/>
          <w:lang w:val="en-AU"/>
        </w:rPr>
        <w:t xml:space="preserve"> of the </w:t>
      </w:r>
      <w:r w:rsidR="002F5152">
        <w:rPr>
          <w:rFonts w:ascii="Arial" w:eastAsia="Times New Roman" w:hAnsi="Arial" w:cs="Arial"/>
          <w:bCs/>
          <w:sz w:val="24"/>
          <w:szCs w:val="24"/>
          <w:lang w:val="en-AU"/>
        </w:rPr>
        <w:t xml:space="preserve">IECEx </w:t>
      </w:r>
      <w:r w:rsidR="00823010">
        <w:rPr>
          <w:rFonts w:ascii="Arial" w:eastAsia="Times New Roman" w:hAnsi="Arial" w:cs="Arial"/>
          <w:bCs/>
          <w:sz w:val="24"/>
          <w:szCs w:val="24"/>
          <w:lang w:val="en-AU"/>
        </w:rPr>
        <w:t xml:space="preserve">requirements </w:t>
      </w:r>
      <w:r w:rsidR="002F5152">
        <w:rPr>
          <w:rFonts w:ascii="Arial" w:eastAsia="Times New Roman" w:hAnsi="Arial" w:cs="Arial"/>
          <w:bCs/>
          <w:sz w:val="24"/>
          <w:szCs w:val="24"/>
          <w:lang w:val="en-AU"/>
        </w:rPr>
        <w:t>regarding the use of external resources, whether referred to as Subcontracting / Outsourcing etc for which the starting point of such are the general requirements contained within the ISO/IEC 17000 suite of Standards.</w:t>
      </w:r>
    </w:p>
    <w:p w14:paraId="43B9279D" w14:textId="0A1A3E27" w:rsidR="002F5152" w:rsidRDefault="002F5152" w:rsidP="00D244DE">
      <w:pPr>
        <w:rPr>
          <w:rFonts w:ascii="Arial" w:eastAsia="Times New Roman" w:hAnsi="Arial" w:cs="Arial"/>
          <w:bCs/>
          <w:sz w:val="24"/>
          <w:szCs w:val="24"/>
          <w:lang w:val="en-AU"/>
        </w:rPr>
      </w:pPr>
      <w:r>
        <w:rPr>
          <w:rFonts w:ascii="Arial" w:eastAsia="Times New Roman" w:hAnsi="Arial" w:cs="Arial"/>
          <w:bCs/>
          <w:sz w:val="24"/>
          <w:szCs w:val="24"/>
          <w:lang w:val="en-AU"/>
        </w:rPr>
        <w:t>This document is being presented at the 2021 Annual meeting of the ExTAG.</w:t>
      </w:r>
    </w:p>
    <w:p w14:paraId="2BCF1F95" w14:textId="43FB608F" w:rsidR="002F5152" w:rsidRDefault="002F5152" w:rsidP="00D244DE">
      <w:pPr>
        <w:rPr>
          <w:rFonts w:ascii="Arial" w:eastAsia="Times New Roman" w:hAnsi="Arial" w:cs="Arial"/>
          <w:bCs/>
          <w:sz w:val="24"/>
          <w:szCs w:val="24"/>
          <w:lang w:val="en-AU"/>
        </w:rPr>
      </w:pPr>
    </w:p>
    <w:p w14:paraId="1DB42817" w14:textId="20122591" w:rsidR="002F5152" w:rsidRDefault="002F5152" w:rsidP="002F5152">
      <w:pPr>
        <w:jc w:val="center"/>
        <w:rPr>
          <w:rFonts w:ascii="Arial" w:eastAsia="Times New Roman" w:hAnsi="Arial" w:cs="Arial"/>
          <w:bCs/>
          <w:sz w:val="24"/>
          <w:szCs w:val="24"/>
          <w:lang w:val="en-AU"/>
        </w:rPr>
      </w:pPr>
      <w:r>
        <w:rPr>
          <w:rFonts w:ascii="Arial" w:eastAsia="Times New Roman" w:hAnsi="Arial" w:cs="Arial"/>
          <w:bCs/>
          <w:sz w:val="24"/>
          <w:szCs w:val="24"/>
          <w:lang w:val="en-AU"/>
        </w:rPr>
        <w:t>***********************</w:t>
      </w:r>
    </w:p>
    <w:sectPr w:rsidR="002F515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18DB" w14:textId="77777777" w:rsidR="007C45DC" w:rsidRDefault="007C45DC" w:rsidP="00E13B61">
      <w:pPr>
        <w:spacing w:after="0" w:line="240" w:lineRule="auto"/>
      </w:pPr>
      <w:r>
        <w:separator/>
      </w:r>
    </w:p>
  </w:endnote>
  <w:endnote w:type="continuationSeparator" w:id="0">
    <w:p w14:paraId="25BB5603" w14:textId="77777777" w:rsidR="007C45DC" w:rsidRDefault="007C45DC" w:rsidP="00E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4734"/>
      <w:docPartObj>
        <w:docPartGallery w:val="Page Numbers (Bottom of Page)"/>
        <w:docPartUnique/>
      </w:docPartObj>
    </w:sdtPr>
    <w:sdtEndPr/>
    <w:sdtContent>
      <w:sdt>
        <w:sdtPr>
          <w:id w:val="-1769616900"/>
          <w:docPartObj>
            <w:docPartGallery w:val="Page Numbers (Top of Page)"/>
            <w:docPartUnique/>
          </w:docPartObj>
        </w:sdtPr>
        <w:sdtEndPr/>
        <w:sdtContent>
          <w:p w14:paraId="7AD5BDE5" w14:textId="1E034E46" w:rsidR="00650DAE" w:rsidRDefault="00650D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00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00F7">
              <w:rPr>
                <w:b/>
                <w:bCs/>
                <w:noProof/>
              </w:rPr>
              <w:t>5</w:t>
            </w:r>
            <w:r>
              <w:rPr>
                <w:b/>
                <w:bCs/>
                <w:sz w:val="24"/>
                <w:szCs w:val="24"/>
              </w:rPr>
              <w:fldChar w:fldCharType="end"/>
            </w:r>
          </w:p>
        </w:sdtContent>
      </w:sdt>
    </w:sdtContent>
  </w:sdt>
  <w:p w14:paraId="5AB3EF2E" w14:textId="77777777" w:rsidR="00650DAE" w:rsidRDefault="0065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DD56" w14:textId="77777777" w:rsidR="007C45DC" w:rsidRDefault="007C45DC" w:rsidP="00E13B61">
      <w:pPr>
        <w:spacing w:after="0" w:line="240" w:lineRule="auto"/>
      </w:pPr>
      <w:r>
        <w:separator/>
      </w:r>
    </w:p>
  </w:footnote>
  <w:footnote w:type="continuationSeparator" w:id="0">
    <w:p w14:paraId="7ED30108" w14:textId="77777777" w:rsidR="007C45DC" w:rsidRDefault="007C45DC" w:rsidP="00E1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59D2" w14:textId="43D79398" w:rsidR="00E13B61" w:rsidRDefault="00E13B61">
    <w:pPr>
      <w:pStyle w:val="Header"/>
    </w:pPr>
    <w:r>
      <w:rPr>
        <w:noProof/>
        <w:lang w:val="en-AU" w:eastAsia="en-AU"/>
      </w:rPr>
      <w:drawing>
        <wp:inline distT="0" distB="0" distL="0" distR="0" wp14:anchorId="5BAB1E99" wp14:editId="37033E51">
          <wp:extent cx="585470" cy="5060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4045FB52" w14:textId="09FCAEA4" w:rsidR="00E13B61" w:rsidRPr="00E13B61" w:rsidRDefault="000D72BB" w:rsidP="00E13B61">
    <w:pPr>
      <w:pStyle w:val="Header"/>
      <w:jc w:val="right"/>
      <w:rPr>
        <w:rFonts w:ascii="Arial" w:hAnsi="Arial" w:cs="Arial"/>
        <w:b/>
      </w:rPr>
    </w:pPr>
    <w:r w:rsidRPr="00E36CF5">
      <w:rPr>
        <w:rFonts w:ascii="Arial" w:hAnsi="Arial" w:cs="Arial"/>
        <w:b/>
      </w:rPr>
      <w:t>ExTAG/</w:t>
    </w:r>
    <w:r w:rsidR="00E36CF5" w:rsidRPr="00E36CF5">
      <w:rPr>
        <w:rFonts w:ascii="Arial" w:hAnsi="Arial" w:cs="Arial"/>
        <w:b/>
      </w:rPr>
      <w:t>662</w:t>
    </w:r>
    <w:r w:rsidR="00E13B61" w:rsidRPr="00E36CF5">
      <w:rPr>
        <w:rFonts w:ascii="Arial" w:hAnsi="Arial" w:cs="Arial"/>
        <w:b/>
      </w:rPr>
      <w:t>/</w:t>
    </w:r>
    <w:r w:rsidR="00E36CF5" w:rsidRPr="00E36CF5">
      <w:rPr>
        <w:rFonts w:ascii="Arial" w:hAnsi="Arial" w:cs="Arial"/>
        <w:b/>
      </w:rPr>
      <w:t>Inf</w:t>
    </w:r>
  </w:p>
  <w:p w14:paraId="1BDFD850" w14:textId="7E5EAD0C" w:rsidR="00E13B61" w:rsidRDefault="006321EE" w:rsidP="00E13B61">
    <w:pPr>
      <w:pStyle w:val="Header"/>
      <w:jc w:val="right"/>
    </w:pPr>
    <w:r>
      <w:rPr>
        <w:rFonts w:ascii="Arial" w:hAnsi="Arial" w:cs="Arial"/>
        <w:b/>
      </w:rPr>
      <w:t>August</w:t>
    </w:r>
    <w:r w:rsidR="00E13B61" w:rsidRPr="00E13B61">
      <w:rPr>
        <w:rFonts w:ascii="Arial" w:hAnsi="Arial" w:cs="Arial"/>
        <w:b/>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7A0"/>
    <w:multiLevelType w:val="hybridMultilevel"/>
    <w:tmpl w:val="79FC3518"/>
    <w:lvl w:ilvl="0" w:tplc="26FAA8A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C3FD3"/>
    <w:multiLevelType w:val="hybridMultilevel"/>
    <w:tmpl w:val="D6BA56A6"/>
    <w:lvl w:ilvl="0" w:tplc="2E024F90">
      <w:start w:val="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CC203CD"/>
    <w:multiLevelType w:val="hybridMultilevel"/>
    <w:tmpl w:val="724C3B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095AB0"/>
    <w:multiLevelType w:val="hybridMultilevel"/>
    <w:tmpl w:val="C1AC9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612F95"/>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EA662D"/>
    <w:multiLevelType w:val="hybridMultilevel"/>
    <w:tmpl w:val="217C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E827C7"/>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124EFA"/>
    <w:multiLevelType w:val="hybridMultilevel"/>
    <w:tmpl w:val="06F0681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17"/>
    <w:rsid w:val="000671DE"/>
    <w:rsid w:val="000B759C"/>
    <w:rsid w:val="000D2BA3"/>
    <w:rsid w:val="000D72BB"/>
    <w:rsid w:val="001161B5"/>
    <w:rsid w:val="001B5376"/>
    <w:rsid w:val="001D5564"/>
    <w:rsid w:val="00204525"/>
    <w:rsid w:val="0021542E"/>
    <w:rsid w:val="00266384"/>
    <w:rsid w:val="00273566"/>
    <w:rsid w:val="00295501"/>
    <w:rsid w:val="002B2D35"/>
    <w:rsid w:val="002E372C"/>
    <w:rsid w:val="002F5152"/>
    <w:rsid w:val="00307235"/>
    <w:rsid w:val="0031108B"/>
    <w:rsid w:val="00336EC9"/>
    <w:rsid w:val="003447A6"/>
    <w:rsid w:val="003555F2"/>
    <w:rsid w:val="003B704C"/>
    <w:rsid w:val="004366BC"/>
    <w:rsid w:val="0047102F"/>
    <w:rsid w:val="004E2C1D"/>
    <w:rsid w:val="0050558C"/>
    <w:rsid w:val="00517C7F"/>
    <w:rsid w:val="00522EDE"/>
    <w:rsid w:val="00553CB3"/>
    <w:rsid w:val="0059088F"/>
    <w:rsid w:val="0059647E"/>
    <w:rsid w:val="005A37F5"/>
    <w:rsid w:val="005A6759"/>
    <w:rsid w:val="006321EE"/>
    <w:rsid w:val="00650DAE"/>
    <w:rsid w:val="006B6EC2"/>
    <w:rsid w:val="006C17A7"/>
    <w:rsid w:val="006F1E17"/>
    <w:rsid w:val="00754628"/>
    <w:rsid w:val="00767CDC"/>
    <w:rsid w:val="007C45DC"/>
    <w:rsid w:val="007C5A96"/>
    <w:rsid w:val="007E1CF5"/>
    <w:rsid w:val="007E2594"/>
    <w:rsid w:val="007F0831"/>
    <w:rsid w:val="00823010"/>
    <w:rsid w:val="0087777A"/>
    <w:rsid w:val="008806BE"/>
    <w:rsid w:val="00880AE0"/>
    <w:rsid w:val="00885BB6"/>
    <w:rsid w:val="00887235"/>
    <w:rsid w:val="008A5D7A"/>
    <w:rsid w:val="008B3447"/>
    <w:rsid w:val="008E346C"/>
    <w:rsid w:val="008F00F7"/>
    <w:rsid w:val="009373CE"/>
    <w:rsid w:val="009B0A79"/>
    <w:rsid w:val="009B7125"/>
    <w:rsid w:val="009C32BA"/>
    <w:rsid w:val="009F4B74"/>
    <w:rsid w:val="00A1210A"/>
    <w:rsid w:val="00A1392B"/>
    <w:rsid w:val="00A349B5"/>
    <w:rsid w:val="00A46090"/>
    <w:rsid w:val="00A46FFE"/>
    <w:rsid w:val="00B918CC"/>
    <w:rsid w:val="00BB705D"/>
    <w:rsid w:val="00BE6E24"/>
    <w:rsid w:val="00C41022"/>
    <w:rsid w:val="00C52E5A"/>
    <w:rsid w:val="00CB74E6"/>
    <w:rsid w:val="00CC329F"/>
    <w:rsid w:val="00D20561"/>
    <w:rsid w:val="00D244DE"/>
    <w:rsid w:val="00D522F1"/>
    <w:rsid w:val="00D560E2"/>
    <w:rsid w:val="00D71E78"/>
    <w:rsid w:val="00D81610"/>
    <w:rsid w:val="00D874B7"/>
    <w:rsid w:val="00DB25EA"/>
    <w:rsid w:val="00DC1E0D"/>
    <w:rsid w:val="00DC6742"/>
    <w:rsid w:val="00E13B61"/>
    <w:rsid w:val="00E14044"/>
    <w:rsid w:val="00E36CF5"/>
    <w:rsid w:val="00E42F82"/>
    <w:rsid w:val="00E72E19"/>
    <w:rsid w:val="00E909BF"/>
    <w:rsid w:val="00EF25D5"/>
    <w:rsid w:val="00F1634D"/>
    <w:rsid w:val="00F2325C"/>
    <w:rsid w:val="00F3341D"/>
    <w:rsid w:val="00F37548"/>
    <w:rsid w:val="00F83E6B"/>
    <w:rsid w:val="00F916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FACBE"/>
  <w15:chartTrackingRefBased/>
  <w15:docId w15:val="{1DBBE1CB-ED64-4FF4-8ECB-8A95D92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E17"/>
    <w:rPr>
      <w:color w:val="0563C1" w:themeColor="hyperlink"/>
      <w:u w:val="single"/>
    </w:rPr>
  </w:style>
  <w:style w:type="character" w:customStyle="1" w:styleId="UnresolvedMention1">
    <w:name w:val="Unresolved Mention1"/>
    <w:basedOn w:val="DefaultParagraphFont"/>
    <w:uiPriority w:val="99"/>
    <w:semiHidden/>
    <w:unhideWhenUsed/>
    <w:rsid w:val="006F1E17"/>
    <w:rPr>
      <w:color w:val="605E5C"/>
      <w:shd w:val="clear" w:color="auto" w:fill="E1DFDD"/>
    </w:rPr>
  </w:style>
  <w:style w:type="paragraph" w:styleId="Header">
    <w:name w:val="header"/>
    <w:basedOn w:val="Normal"/>
    <w:link w:val="HeaderChar"/>
    <w:uiPriority w:val="99"/>
    <w:unhideWhenUsed/>
    <w:rsid w:val="00E1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B61"/>
  </w:style>
  <w:style w:type="paragraph" w:styleId="Footer">
    <w:name w:val="footer"/>
    <w:basedOn w:val="Normal"/>
    <w:link w:val="FooterChar"/>
    <w:uiPriority w:val="99"/>
    <w:unhideWhenUsed/>
    <w:rsid w:val="00E1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B61"/>
  </w:style>
  <w:style w:type="paragraph" w:customStyle="1" w:styleId="Default">
    <w:name w:val="Default"/>
    <w:rsid w:val="00C41022"/>
    <w:pPr>
      <w:autoSpaceDE w:val="0"/>
      <w:autoSpaceDN w:val="0"/>
      <w:adjustRightInd w:val="0"/>
      <w:spacing w:after="0" w:line="240" w:lineRule="auto"/>
    </w:pPr>
    <w:rPr>
      <w:rFonts w:ascii="Cambria" w:hAnsi="Cambria" w:cs="Cambria"/>
      <w:color w:val="000000"/>
      <w:sz w:val="24"/>
      <w:szCs w:val="24"/>
      <w:lang w:val="en-AU"/>
    </w:rPr>
  </w:style>
  <w:style w:type="paragraph" w:styleId="ListParagraph">
    <w:name w:val="List Paragraph"/>
    <w:basedOn w:val="Normal"/>
    <w:uiPriority w:val="34"/>
    <w:qFormat/>
    <w:rsid w:val="00307235"/>
    <w:pPr>
      <w:ind w:left="720"/>
      <w:contextualSpacing/>
    </w:pPr>
  </w:style>
  <w:style w:type="character" w:styleId="UnresolvedMention">
    <w:name w:val="Unresolved Mention"/>
    <w:basedOn w:val="DefaultParagraphFont"/>
    <w:uiPriority w:val="99"/>
    <w:semiHidden/>
    <w:unhideWhenUsed/>
    <w:rsid w:val="00C52E5A"/>
    <w:rPr>
      <w:color w:val="605E5C"/>
      <w:shd w:val="clear" w:color="auto" w:fill="E1DFDD"/>
    </w:rPr>
  </w:style>
  <w:style w:type="paragraph" w:customStyle="1" w:styleId="Pa21">
    <w:name w:val="Pa21"/>
    <w:basedOn w:val="Normal"/>
    <w:uiPriority w:val="99"/>
    <w:rsid w:val="005A6759"/>
    <w:pPr>
      <w:autoSpaceDE w:val="0"/>
      <w:autoSpaceDN w:val="0"/>
      <w:spacing w:after="0" w:line="241" w:lineRule="atLeast"/>
    </w:pPr>
    <w:rPr>
      <w:rFonts w:ascii="Cambria" w:hAnsi="Cambria" w:cs="Calibri"/>
      <w:sz w:val="24"/>
      <w:szCs w:val="24"/>
      <w:lang w:val="en-AU" w:eastAsia="en-AU"/>
    </w:rPr>
  </w:style>
  <w:style w:type="paragraph" w:customStyle="1" w:styleId="Pa22">
    <w:name w:val="Pa22"/>
    <w:basedOn w:val="Normal"/>
    <w:uiPriority w:val="99"/>
    <w:rsid w:val="005A6759"/>
    <w:pPr>
      <w:autoSpaceDE w:val="0"/>
      <w:autoSpaceDN w:val="0"/>
      <w:spacing w:after="0" w:line="221" w:lineRule="atLeast"/>
    </w:pPr>
    <w:rPr>
      <w:rFonts w:ascii="Cambria" w:hAnsi="Cambria" w:cs="Calibri"/>
      <w:sz w:val="24"/>
      <w:szCs w:val="24"/>
      <w:lang w:val="en-AU" w:eastAsia="en-AU"/>
    </w:rPr>
  </w:style>
  <w:style w:type="paragraph" w:customStyle="1" w:styleId="Pa15">
    <w:name w:val="Pa15"/>
    <w:basedOn w:val="Normal"/>
    <w:uiPriority w:val="99"/>
    <w:rsid w:val="005A6759"/>
    <w:pPr>
      <w:autoSpaceDE w:val="0"/>
      <w:autoSpaceDN w:val="0"/>
      <w:spacing w:after="0" w:line="221" w:lineRule="atLeast"/>
    </w:pPr>
    <w:rPr>
      <w:rFonts w:ascii="Cambria" w:hAnsi="Cambria" w:cs="Calibri"/>
      <w:sz w:val="24"/>
      <w:szCs w:val="24"/>
      <w:lang w:val="en-AU" w:eastAsia="en-AU"/>
    </w:rPr>
  </w:style>
  <w:style w:type="character" w:styleId="CommentReference">
    <w:name w:val="annotation reference"/>
    <w:basedOn w:val="DefaultParagraphFont"/>
    <w:uiPriority w:val="99"/>
    <w:semiHidden/>
    <w:unhideWhenUsed/>
    <w:rsid w:val="00273566"/>
    <w:rPr>
      <w:sz w:val="16"/>
      <w:szCs w:val="16"/>
    </w:rPr>
  </w:style>
  <w:style w:type="paragraph" w:styleId="CommentText">
    <w:name w:val="annotation text"/>
    <w:basedOn w:val="Normal"/>
    <w:link w:val="CommentTextChar"/>
    <w:uiPriority w:val="99"/>
    <w:semiHidden/>
    <w:unhideWhenUsed/>
    <w:rsid w:val="00273566"/>
    <w:pPr>
      <w:spacing w:line="240" w:lineRule="auto"/>
    </w:pPr>
    <w:rPr>
      <w:sz w:val="20"/>
      <w:szCs w:val="20"/>
    </w:rPr>
  </w:style>
  <w:style w:type="character" w:customStyle="1" w:styleId="CommentTextChar">
    <w:name w:val="Comment Text Char"/>
    <w:basedOn w:val="DefaultParagraphFont"/>
    <w:link w:val="CommentText"/>
    <w:uiPriority w:val="99"/>
    <w:semiHidden/>
    <w:rsid w:val="00273566"/>
    <w:rPr>
      <w:sz w:val="20"/>
      <w:szCs w:val="20"/>
    </w:rPr>
  </w:style>
  <w:style w:type="paragraph" w:styleId="CommentSubject">
    <w:name w:val="annotation subject"/>
    <w:basedOn w:val="CommentText"/>
    <w:next w:val="CommentText"/>
    <w:link w:val="CommentSubjectChar"/>
    <w:uiPriority w:val="99"/>
    <w:semiHidden/>
    <w:unhideWhenUsed/>
    <w:rsid w:val="00273566"/>
    <w:rPr>
      <w:b/>
      <w:bCs/>
    </w:rPr>
  </w:style>
  <w:style w:type="character" w:customStyle="1" w:styleId="CommentSubjectChar">
    <w:name w:val="Comment Subject Char"/>
    <w:basedOn w:val="CommentTextChar"/>
    <w:link w:val="CommentSubject"/>
    <w:uiPriority w:val="99"/>
    <w:semiHidden/>
    <w:rsid w:val="00273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631">
      <w:bodyDiv w:val="1"/>
      <w:marLeft w:val="0"/>
      <w:marRight w:val="0"/>
      <w:marTop w:val="0"/>
      <w:marBottom w:val="0"/>
      <w:divBdr>
        <w:top w:val="none" w:sz="0" w:space="0" w:color="auto"/>
        <w:left w:val="none" w:sz="0" w:space="0" w:color="auto"/>
        <w:bottom w:val="none" w:sz="0" w:space="0" w:color="auto"/>
        <w:right w:val="none" w:sz="0" w:space="0" w:color="auto"/>
      </w:divBdr>
    </w:div>
    <w:div w:id="162403221">
      <w:bodyDiv w:val="1"/>
      <w:marLeft w:val="0"/>
      <w:marRight w:val="0"/>
      <w:marTop w:val="0"/>
      <w:marBottom w:val="0"/>
      <w:divBdr>
        <w:top w:val="none" w:sz="0" w:space="0" w:color="auto"/>
        <w:left w:val="none" w:sz="0" w:space="0" w:color="auto"/>
        <w:bottom w:val="none" w:sz="0" w:space="0" w:color="auto"/>
        <w:right w:val="none" w:sz="0" w:space="0" w:color="auto"/>
      </w:divBdr>
    </w:div>
    <w:div w:id="211501818">
      <w:bodyDiv w:val="1"/>
      <w:marLeft w:val="0"/>
      <w:marRight w:val="0"/>
      <w:marTop w:val="0"/>
      <w:marBottom w:val="0"/>
      <w:divBdr>
        <w:top w:val="none" w:sz="0" w:space="0" w:color="auto"/>
        <w:left w:val="none" w:sz="0" w:space="0" w:color="auto"/>
        <w:bottom w:val="none" w:sz="0" w:space="0" w:color="auto"/>
        <w:right w:val="none" w:sz="0" w:space="0" w:color="auto"/>
      </w:divBdr>
    </w:div>
    <w:div w:id="350306872">
      <w:bodyDiv w:val="1"/>
      <w:marLeft w:val="0"/>
      <w:marRight w:val="0"/>
      <w:marTop w:val="0"/>
      <w:marBottom w:val="0"/>
      <w:divBdr>
        <w:top w:val="none" w:sz="0" w:space="0" w:color="auto"/>
        <w:left w:val="none" w:sz="0" w:space="0" w:color="auto"/>
        <w:bottom w:val="none" w:sz="0" w:space="0" w:color="auto"/>
        <w:right w:val="none" w:sz="0" w:space="0" w:color="auto"/>
      </w:divBdr>
    </w:div>
    <w:div w:id="458181517">
      <w:bodyDiv w:val="1"/>
      <w:marLeft w:val="0"/>
      <w:marRight w:val="0"/>
      <w:marTop w:val="0"/>
      <w:marBottom w:val="0"/>
      <w:divBdr>
        <w:top w:val="none" w:sz="0" w:space="0" w:color="auto"/>
        <w:left w:val="none" w:sz="0" w:space="0" w:color="auto"/>
        <w:bottom w:val="none" w:sz="0" w:space="0" w:color="auto"/>
        <w:right w:val="none" w:sz="0" w:space="0" w:color="auto"/>
      </w:divBdr>
    </w:div>
    <w:div w:id="471674173">
      <w:bodyDiv w:val="1"/>
      <w:marLeft w:val="0"/>
      <w:marRight w:val="0"/>
      <w:marTop w:val="0"/>
      <w:marBottom w:val="0"/>
      <w:divBdr>
        <w:top w:val="none" w:sz="0" w:space="0" w:color="auto"/>
        <w:left w:val="none" w:sz="0" w:space="0" w:color="auto"/>
        <w:bottom w:val="none" w:sz="0" w:space="0" w:color="auto"/>
        <w:right w:val="none" w:sz="0" w:space="0" w:color="auto"/>
      </w:divBdr>
    </w:div>
    <w:div w:id="495731269">
      <w:bodyDiv w:val="1"/>
      <w:marLeft w:val="0"/>
      <w:marRight w:val="0"/>
      <w:marTop w:val="0"/>
      <w:marBottom w:val="0"/>
      <w:divBdr>
        <w:top w:val="none" w:sz="0" w:space="0" w:color="auto"/>
        <w:left w:val="none" w:sz="0" w:space="0" w:color="auto"/>
        <w:bottom w:val="none" w:sz="0" w:space="0" w:color="auto"/>
        <w:right w:val="none" w:sz="0" w:space="0" w:color="auto"/>
      </w:divBdr>
    </w:div>
    <w:div w:id="795835072">
      <w:bodyDiv w:val="1"/>
      <w:marLeft w:val="0"/>
      <w:marRight w:val="0"/>
      <w:marTop w:val="0"/>
      <w:marBottom w:val="0"/>
      <w:divBdr>
        <w:top w:val="none" w:sz="0" w:space="0" w:color="auto"/>
        <w:left w:val="none" w:sz="0" w:space="0" w:color="auto"/>
        <w:bottom w:val="none" w:sz="0" w:space="0" w:color="auto"/>
        <w:right w:val="none" w:sz="0" w:space="0" w:color="auto"/>
      </w:divBdr>
    </w:div>
    <w:div w:id="946233601">
      <w:bodyDiv w:val="1"/>
      <w:marLeft w:val="0"/>
      <w:marRight w:val="0"/>
      <w:marTop w:val="0"/>
      <w:marBottom w:val="0"/>
      <w:divBdr>
        <w:top w:val="none" w:sz="0" w:space="0" w:color="auto"/>
        <w:left w:val="none" w:sz="0" w:space="0" w:color="auto"/>
        <w:bottom w:val="none" w:sz="0" w:space="0" w:color="auto"/>
        <w:right w:val="none" w:sz="0" w:space="0" w:color="auto"/>
      </w:divBdr>
    </w:div>
    <w:div w:id="1036388220">
      <w:bodyDiv w:val="1"/>
      <w:marLeft w:val="0"/>
      <w:marRight w:val="0"/>
      <w:marTop w:val="0"/>
      <w:marBottom w:val="0"/>
      <w:divBdr>
        <w:top w:val="none" w:sz="0" w:space="0" w:color="auto"/>
        <w:left w:val="none" w:sz="0" w:space="0" w:color="auto"/>
        <w:bottom w:val="none" w:sz="0" w:space="0" w:color="auto"/>
        <w:right w:val="none" w:sz="0" w:space="0" w:color="auto"/>
      </w:divBdr>
    </w:div>
    <w:div w:id="1326207409">
      <w:bodyDiv w:val="1"/>
      <w:marLeft w:val="0"/>
      <w:marRight w:val="0"/>
      <w:marTop w:val="0"/>
      <w:marBottom w:val="0"/>
      <w:divBdr>
        <w:top w:val="none" w:sz="0" w:space="0" w:color="auto"/>
        <w:left w:val="none" w:sz="0" w:space="0" w:color="auto"/>
        <w:bottom w:val="none" w:sz="0" w:space="0" w:color="auto"/>
        <w:right w:val="none" w:sz="0" w:space="0" w:color="auto"/>
      </w:divBdr>
    </w:div>
    <w:div w:id="1371764667">
      <w:bodyDiv w:val="1"/>
      <w:marLeft w:val="0"/>
      <w:marRight w:val="0"/>
      <w:marTop w:val="0"/>
      <w:marBottom w:val="0"/>
      <w:divBdr>
        <w:top w:val="none" w:sz="0" w:space="0" w:color="auto"/>
        <w:left w:val="none" w:sz="0" w:space="0" w:color="auto"/>
        <w:bottom w:val="none" w:sz="0" w:space="0" w:color="auto"/>
        <w:right w:val="none" w:sz="0" w:space="0" w:color="auto"/>
      </w:divBdr>
    </w:div>
    <w:div w:id="1565335002">
      <w:bodyDiv w:val="1"/>
      <w:marLeft w:val="0"/>
      <w:marRight w:val="0"/>
      <w:marTop w:val="0"/>
      <w:marBottom w:val="0"/>
      <w:divBdr>
        <w:top w:val="none" w:sz="0" w:space="0" w:color="auto"/>
        <w:left w:val="none" w:sz="0" w:space="0" w:color="auto"/>
        <w:bottom w:val="none" w:sz="0" w:space="0" w:color="auto"/>
        <w:right w:val="none" w:sz="0" w:space="0" w:color="auto"/>
      </w:divBdr>
    </w:div>
    <w:div w:id="1573200023">
      <w:bodyDiv w:val="1"/>
      <w:marLeft w:val="0"/>
      <w:marRight w:val="0"/>
      <w:marTop w:val="0"/>
      <w:marBottom w:val="0"/>
      <w:divBdr>
        <w:top w:val="none" w:sz="0" w:space="0" w:color="auto"/>
        <w:left w:val="none" w:sz="0" w:space="0" w:color="auto"/>
        <w:bottom w:val="none" w:sz="0" w:space="0" w:color="auto"/>
        <w:right w:val="none" w:sz="0" w:space="0" w:color="auto"/>
      </w:divBdr>
    </w:div>
    <w:div w:id="1665426034">
      <w:bodyDiv w:val="1"/>
      <w:marLeft w:val="0"/>
      <w:marRight w:val="0"/>
      <w:marTop w:val="0"/>
      <w:marBottom w:val="0"/>
      <w:divBdr>
        <w:top w:val="none" w:sz="0" w:space="0" w:color="auto"/>
        <w:left w:val="none" w:sz="0" w:space="0" w:color="auto"/>
        <w:bottom w:val="none" w:sz="0" w:space="0" w:color="auto"/>
        <w:right w:val="none" w:sz="0" w:space="0" w:color="auto"/>
      </w:divBdr>
    </w:div>
    <w:div w:id="1709791516">
      <w:bodyDiv w:val="1"/>
      <w:marLeft w:val="0"/>
      <w:marRight w:val="0"/>
      <w:marTop w:val="0"/>
      <w:marBottom w:val="0"/>
      <w:divBdr>
        <w:top w:val="none" w:sz="0" w:space="0" w:color="auto"/>
        <w:left w:val="none" w:sz="0" w:space="0" w:color="auto"/>
        <w:bottom w:val="none" w:sz="0" w:space="0" w:color="auto"/>
        <w:right w:val="none" w:sz="0" w:space="0" w:color="auto"/>
      </w:divBdr>
    </w:div>
    <w:div w:id="1825201407">
      <w:bodyDiv w:val="1"/>
      <w:marLeft w:val="0"/>
      <w:marRight w:val="0"/>
      <w:marTop w:val="0"/>
      <w:marBottom w:val="0"/>
      <w:divBdr>
        <w:top w:val="none" w:sz="0" w:space="0" w:color="auto"/>
        <w:left w:val="none" w:sz="0" w:space="0" w:color="auto"/>
        <w:bottom w:val="none" w:sz="0" w:space="0" w:color="auto"/>
        <w:right w:val="none" w:sz="0" w:space="0" w:color="auto"/>
      </w:divBdr>
    </w:div>
    <w:div w:id="1898738952">
      <w:bodyDiv w:val="1"/>
      <w:marLeft w:val="0"/>
      <w:marRight w:val="0"/>
      <w:marTop w:val="0"/>
      <w:marBottom w:val="0"/>
      <w:divBdr>
        <w:top w:val="none" w:sz="0" w:space="0" w:color="auto"/>
        <w:left w:val="none" w:sz="0" w:space="0" w:color="auto"/>
        <w:bottom w:val="none" w:sz="0" w:space="0" w:color="auto"/>
        <w:right w:val="none" w:sz="0" w:space="0" w:color="auto"/>
      </w:divBdr>
    </w:div>
    <w:div w:id="19023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members-area/documents/tcds/" TargetMode="External"/><Relationship Id="rId3" Type="http://schemas.openxmlformats.org/officeDocument/2006/relationships/settings" Target="settings.xml"/><Relationship Id="rId7"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2568</Words>
  <Characters>14639</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Brodel</dc:creator>
  <cp:keywords/>
  <dc:description/>
  <cp:lastModifiedBy>Chris Agius</cp:lastModifiedBy>
  <cp:revision>2</cp:revision>
  <dcterms:created xsi:type="dcterms:W3CDTF">2021-08-12T23:17:00Z</dcterms:created>
  <dcterms:modified xsi:type="dcterms:W3CDTF">2021-08-12T23:17:00Z</dcterms:modified>
</cp:coreProperties>
</file>